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8A" w:rsidRDefault="0018268A" w:rsidP="004027C1">
      <w:pPr>
        <w:pStyle w:val="NormalWeb"/>
        <w:rPr>
          <w:rFonts w:ascii="Arial" w:hAnsi="Arial" w:cs="Arial"/>
        </w:rPr>
      </w:pPr>
    </w:p>
    <w:p w:rsidR="0018268A" w:rsidRDefault="0018268A" w:rsidP="004027C1">
      <w:pPr>
        <w:pStyle w:val="NormalWeb"/>
        <w:rPr>
          <w:rFonts w:ascii="Arial" w:hAnsi="Arial" w:cs="Arial"/>
        </w:rPr>
      </w:pPr>
    </w:p>
    <w:p w:rsidR="004027C1" w:rsidRDefault="0042621A" w:rsidP="004027C1">
      <w:pPr>
        <w:pStyle w:val="NormalWeb"/>
        <w:rPr>
          <w:rFonts w:ascii="Arial" w:hAnsi="Arial" w:cs="Arial"/>
        </w:rPr>
      </w:pPr>
      <w:r>
        <w:rPr>
          <w:rFonts w:ascii="Arial" w:hAnsi="Arial" w:cs="Arial"/>
        </w:rPr>
        <w:pict>
          <v:rect id="_x0000_i1025" style="width:0;height:1.5pt" o:hralign="center" o:hrstd="t" o:hr="t" fillcolor="#a0a0a0" stroked="f"/>
        </w:pict>
      </w:r>
    </w:p>
    <w:p w:rsidR="00F9456A" w:rsidRPr="00027EF1" w:rsidRDefault="00110C96" w:rsidP="00F9456A">
      <w:pPr>
        <w:rPr>
          <w:rFonts w:cs="Arial"/>
          <w:sz w:val="20"/>
          <w:szCs w:val="20"/>
        </w:rPr>
      </w:pPr>
      <w:r>
        <w:rPr>
          <w:rFonts w:cs="Arial"/>
          <w:b/>
          <w:bCs/>
          <w:sz w:val="40"/>
          <w:szCs w:val="40"/>
        </w:rPr>
        <w:t>An e</w:t>
      </w:r>
      <w:r w:rsidR="00F9456A" w:rsidRPr="00F9456A">
        <w:rPr>
          <w:rFonts w:cs="Arial"/>
          <w:b/>
          <w:bCs/>
          <w:sz w:val="40"/>
          <w:szCs w:val="40"/>
        </w:rPr>
        <w:t>valuation of a STEM summer undergraduate research internship scheme</w:t>
      </w:r>
      <w:r>
        <w:rPr>
          <w:rFonts w:cs="Arial"/>
          <w:b/>
          <w:bCs/>
          <w:sz w:val="40"/>
          <w:szCs w:val="40"/>
        </w:rPr>
        <w:t>: student-perceived learning gains.</w:t>
      </w:r>
    </w:p>
    <w:p w:rsidR="004027C1" w:rsidRPr="00F9456A" w:rsidRDefault="00F9456A" w:rsidP="004027C1">
      <w:pPr>
        <w:rPr>
          <w:b/>
        </w:rPr>
      </w:pPr>
      <w:r>
        <w:rPr>
          <w:b/>
        </w:rPr>
        <w:t>Neil Williams</w:t>
      </w:r>
      <w:r w:rsidR="00152E4F">
        <w:rPr>
          <w:b/>
        </w:rPr>
        <w:t>*</w:t>
      </w:r>
      <w:r>
        <w:rPr>
          <w:b/>
        </w:rPr>
        <w:t>,</w:t>
      </w:r>
      <w:r w:rsidRPr="00F9456A">
        <w:rPr>
          <w:rFonts w:cs="Arial"/>
          <w:sz w:val="24"/>
          <w:szCs w:val="24"/>
        </w:rPr>
        <w:t xml:space="preserve"> </w:t>
      </w:r>
      <w:proofErr w:type="spellStart"/>
      <w:r w:rsidRPr="00F9456A">
        <w:rPr>
          <w:rFonts w:cs="Arial"/>
          <w:b/>
          <w:sz w:val="24"/>
          <w:szCs w:val="24"/>
        </w:rPr>
        <w:t>Humma</w:t>
      </w:r>
      <w:proofErr w:type="spellEnd"/>
      <w:r w:rsidRPr="00F9456A">
        <w:rPr>
          <w:rFonts w:cs="Arial"/>
          <w:b/>
          <w:sz w:val="24"/>
          <w:szCs w:val="24"/>
        </w:rPr>
        <w:t xml:space="preserve"> Hussain, </w:t>
      </w:r>
      <w:proofErr w:type="spellStart"/>
      <w:r w:rsidRPr="00F9456A">
        <w:rPr>
          <w:rFonts w:cs="Arial"/>
          <w:b/>
          <w:sz w:val="24"/>
          <w:szCs w:val="24"/>
        </w:rPr>
        <w:t>Pinali</w:t>
      </w:r>
      <w:proofErr w:type="spellEnd"/>
      <w:r w:rsidRPr="00F9456A">
        <w:rPr>
          <w:rFonts w:cs="Arial"/>
          <w:b/>
          <w:sz w:val="24"/>
          <w:szCs w:val="24"/>
        </w:rPr>
        <w:t xml:space="preserve"> </w:t>
      </w:r>
      <w:proofErr w:type="spellStart"/>
      <w:r w:rsidRPr="00F9456A">
        <w:rPr>
          <w:rFonts w:cs="Arial"/>
          <w:b/>
          <w:sz w:val="24"/>
          <w:szCs w:val="24"/>
        </w:rPr>
        <w:t>Manojkumar</w:t>
      </w:r>
      <w:proofErr w:type="spellEnd"/>
      <w:r w:rsidRPr="00F9456A">
        <w:rPr>
          <w:rFonts w:cs="Arial"/>
          <w:b/>
          <w:sz w:val="24"/>
          <w:szCs w:val="24"/>
        </w:rPr>
        <w:t xml:space="preserve"> and Asim Thapa</w:t>
      </w:r>
    </w:p>
    <w:p w:rsidR="00152E4F" w:rsidRDefault="00F9456A" w:rsidP="004027C1">
      <w:r>
        <w:t>Faculty of Science, Engineering and Computing, Kingston University</w:t>
      </w:r>
      <w:r w:rsidR="00152E4F">
        <w:t>, Kingston upon Thames, Surrey, KT1 2EE, UK</w:t>
      </w:r>
    </w:p>
    <w:p w:rsidR="00152E4F" w:rsidRDefault="00152E4F" w:rsidP="004027C1">
      <w:r>
        <w:t>*corresponding author N.a.w.illiams@kingston.ac.uk</w:t>
      </w:r>
    </w:p>
    <w:p w:rsidR="004027C1" w:rsidRPr="004027C1" w:rsidRDefault="0042621A" w:rsidP="004027C1">
      <w:r>
        <w:rPr>
          <w:rFonts w:cs="Arial"/>
        </w:rPr>
        <w:pict>
          <v:rect id="_x0000_i1026" style="width:0;height:1.5pt" o:hralign="center" o:hrstd="t" o:hr="t" fillcolor="#a0a0a0" stroked="f"/>
        </w:pict>
      </w:r>
    </w:p>
    <w:p w:rsidR="004027C1" w:rsidRDefault="004027C1" w:rsidP="004027C1">
      <w:pPr>
        <w:pStyle w:val="Heading2"/>
        <w:sectPr w:rsidR="004027C1">
          <w:pgSz w:w="11906" w:h="16838"/>
          <w:pgMar w:top="1440" w:right="1440" w:bottom="1440" w:left="1440" w:header="708" w:footer="708" w:gutter="0"/>
          <w:cols w:space="708"/>
          <w:docGrid w:linePitch="360"/>
        </w:sectPr>
      </w:pPr>
    </w:p>
    <w:p w:rsidR="004027C1" w:rsidRPr="004027C1" w:rsidRDefault="004027C1" w:rsidP="004027C1">
      <w:pPr>
        <w:pStyle w:val="Heading2"/>
      </w:pPr>
      <w:r>
        <w:lastRenderedPageBreak/>
        <w:t>Abstract</w:t>
      </w:r>
    </w:p>
    <w:p w:rsidR="004027C1" w:rsidRDefault="00D62238" w:rsidP="004027C1">
      <w:r>
        <w:rPr>
          <w:rFonts w:cs="Arial"/>
        </w:rPr>
        <w:t>The organisation of a STEM-</w:t>
      </w:r>
      <w:r w:rsidR="00413379" w:rsidRPr="00413379">
        <w:rPr>
          <w:rFonts w:cs="Arial"/>
        </w:rPr>
        <w:t xml:space="preserve">wide </w:t>
      </w:r>
      <w:r w:rsidR="00413379" w:rsidRPr="00413379">
        <w:rPr>
          <w:rFonts w:cs="Arial"/>
          <w:bCs/>
        </w:rPr>
        <w:t xml:space="preserve">summer undergraduate research internship scheme </w:t>
      </w:r>
      <w:r w:rsidR="00643F82">
        <w:rPr>
          <w:rFonts w:cs="Arial"/>
          <w:bCs/>
        </w:rPr>
        <w:t xml:space="preserve">to ensure </w:t>
      </w:r>
      <w:r w:rsidR="00413379" w:rsidRPr="00413379">
        <w:rPr>
          <w:rFonts w:cs="Arial"/>
          <w:bCs/>
        </w:rPr>
        <w:t xml:space="preserve">equal opportunities for all students is reported. Student engagement in the internship programme is much greater in the Biological, Pharmaceutical and Chemical Sciences (142 applications in 2016) than in Engineering and Computing (30 applications in 2016). To evaluate the impact of the scheme, previous interns </w:t>
      </w:r>
      <w:r w:rsidR="00413379" w:rsidRPr="00413379">
        <w:rPr>
          <w:rFonts w:cs="Arial"/>
          <w:bCs/>
        </w:rPr>
        <w:lastRenderedPageBreak/>
        <w:t>were surveyed about their perceived learning ga</w:t>
      </w:r>
      <w:r>
        <w:rPr>
          <w:rFonts w:cs="Arial"/>
          <w:bCs/>
        </w:rPr>
        <w:t xml:space="preserve">ins from doing an internship. Twenty </w:t>
      </w:r>
      <w:proofErr w:type="gramStart"/>
      <w:r>
        <w:rPr>
          <w:rFonts w:cs="Arial"/>
          <w:bCs/>
        </w:rPr>
        <w:t xml:space="preserve">three </w:t>
      </w:r>
      <w:r w:rsidR="00413379" w:rsidRPr="00413379">
        <w:rPr>
          <w:rFonts w:cs="Arial"/>
          <w:bCs/>
        </w:rPr>
        <w:t xml:space="preserve"> responses</w:t>
      </w:r>
      <w:proofErr w:type="gramEnd"/>
      <w:r w:rsidR="00413379" w:rsidRPr="00413379">
        <w:rPr>
          <w:rFonts w:cs="Arial"/>
          <w:bCs/>
        </w:rPr>
        <w:t xml:space="preserve"> were received from 46 previous interns. The greatest gains were rep</w:t>
      </w:r>
      <w:r>
        <w:rPr>
          <w:rFonts w:cs="Arial"/>
          <w:bCs/>
        </w:rPr>
        <w:t>orted for key skills such as:</w:t>
      </w:r>
      <w:r w:rsidR="00413379" w:rsidRPr="00413379">
        <w:rPr>
          <w:rFonts w:cs="Arial"/>
          <w:bCs/>
        </w:rPr>
        <w:t xml:space="preserve"> project and time management and working independently. Though the number of responses</w:t>
      </w:r>
      <w:r w:rsidR="00643F82">
        <w:rPr>
          <w:rFonts w:cs="Arial"/>
          <w:bCs/>
        </w:rPr>
        <w:t xml:space="preserve"> was</w:t>
      </w:r>
      <w:r w:rsidR="00413379" w:rsidRPr="00413379">
        <w:rPr>
          <w:rFonts w:cs="Arial"/>
          <w:bCs/>
        </w:rPr>
        <w:t xml:space="preserve"> small</w:t>
      </w:r>
      <w:r w:rsidR="00643F82">
        <w:rPr>
          <w:rFonts w:cs="Arial"/>
          <w:bCs/>
        </w:rPr>
        <w:t xml:space="preserve">, </w:t>
      </w:r>
      <w:r w:rsidR="00413379" w:rsidRPr="00413379">
        <w:rPr>
          <w:rFonts w:cs="Arial"/>
          <w:bCs/>
        </w:rPr>
        <w:t xml:space="preserve">engineering interns reported lower perceived learning gains than science interns. The survey indicated that perceived gains in key skills such as oral presentation and scientific writing </w:t>
      </w:r>
      <w:r w:rsidR="00413379" w:rsidRPr="00413379">
        <w:rPr>
          <w:rFonts w:cs="Arial"/>
          <w:bCs/>
        </w:rPr>
        <w:lastRenderedPageBreak/>
        <w:t>were not rated very highly. In addition, more oral presentation and writing</w:t>
      </w:r>
      <w:r w:rsidR="00C51682">
        <w:rPr>
          <w:rFonts w:cs="Arial"/>
          <w:bCs/>
        </w:rPr>
        <w:t xml:space="preserve"> a final report were rated amongst</w:t>
      </w:r>
      <w:r w:rsidR="00413379" w:rsidRPr="00413379">
        <w:rPr>
          <w:rFonts w:cs="Arial"/>
          <w:bCs/>
        </w:rPr>
        <w:t xml:space="preserve"> the lowest for changes that mi</w:t>
      </w:r>
      <w:r>
        <w:rPr>
          <w:rFonts w:cs="Arial"/>
          <w:bCs/>
        </w:rPr>
        <w:t>ght improve the learning gain f</w:t>
      </w:r>
      <w:r w:rsidR="00413379" w:rsidRPr="00413379">
        <w:rPr>
          <w:rFonts w:cs="Arial"/>
          <w:bCs/>
        </w:rPr>
        <w:t>r</w:t>
      </w:r>
      <w:r>
        <w:rPr>
          <w:rFonts w:cs="Arial"/>
          <w:bCs/>
        </w:rPr>
        <w:t>o</w:t>
      </w:r>
      <w:r w:rsidR="00413379" w:rsidRPr="00413379">
        <w:rPr>
          <w:rFonts w:cs="Arial"/>
          <w:bCs/>
        </w:rPr>
        <w:t>m doing an internship</w:t>
      </w:r>
      <w:r>
        <w:t>.</w:t>
      </w:r>
    </w:p>
    <w:p w:rsidR="004027C1" w:rsidRPr="004027C1" w:rsidRDefault="00F9456A" w:rsidP="004027C1">
      <w:pPr>
        <w:pStyle w:val="Heading2"/>
      </w:pPr>
      <w:r>
        <w:t>Introduction</w:t>
      </w:r>
    </w:p>
    <w:p w:rsidR="005411BF" w:rsidRPr="005411BF" w:rsidRDefault="00413379" w:rsidP="005411BF">
      <w:pPr>
        <w:rPr>
          <w:rStyle w:val="Hyperlink"/>
          <w:rFonts w:cs="Arial"/>
          <w:bCs/>
        </w:rPr>
      </w:pPr>
      <w:r w:rsidRPr="00413379">
        <w:rPr>
          <w:rFonts w:cs="Arial"/>
          <w:bCs/>
        </w:rPr>
        <w:t>Summer Undergraduate Research (SUR) experiences are available in most UK universities. These typically involve a penultimate yea</w:t>
      </w:r>
      <w:r w:rsidR="00110C96">
        <w:rPr>
          <w:rFonts w:cs="Arial"/>
          <w:bCs/>
        </w:rPr>
        <w:t xml:space="preserve">r student being paid to work </w:t>
      </w:r>
      <w:r w:rsidRPr="00413379">
        <w:rPr>
          <w:rFonts w:cs="Arial"/>
          <w:bCs/>
        </w:rPr>
        <w:t xml:space="preserve">on a research project with a member of academic staff for 6-10 weeks. However, the number of opportunities available to students depends on the institution and the discipline area. </w:t>
      </w:r>
      <w:r w:rsidR="00D62238">
        <w:rPr>
          <w:rFonts w:cs="Arial"/>
          <w:lang w:eastAsia="en-GB"/>
        </w:rPr>
        <w:t>University-</w:t>
      </w:r>
      <w:r w:rsidRPr="00413379">
        <w:rPr>
          <w:rFonts w:cs="Arial"/>
          <w:lang w:eastAsia="en-GB"/>
        </w:rPr>
        <w:t>wide schemes are present at a number of UK universities e</w:t>
      </w:r>
      <w:r w:rsidR="00C51682">
        <w:rPr>
          <w:rFonts w:cs="Arial"/>
          <w:lang w:eastAsia="en-GB"/>
        </w:rPr>
        <w:t>.</w:t>
      </w:r>
      <w:r w:rsidRPr="00413379">
        <w:rPr>
          <w:rFonts w:cs="Arial"/>
          <w:lang w:eastAsia="en-GB"/>
        </w:rPr>
        <w:t xml:space="preserve">g. Warwick, Kings College, Cardiff, Sheffield, Sussex and Reading.  In these schemes </w:t>
      </w:r>
      <w:r w:rsidR="00D62238">
        <w:rPr>
          <w:rFonts w:cs="Arial"/>
          <w:lang w:eastAsia="en-GB"/>
        </w:rPr>
        <w:t xml:space="preserve">SUR </w:t>
      </w:r>
      <w:r w:rsidRPr="00413379">
        <w:rPr>
          <w:rFonts w:cs="Arial"/>
          <w:bCs/>
        </w:rPr>
        <w:t>experiences are available to students from all disciplines.  The list of funded projects between 2011-2015 at Sheffield University, as part of their SURE scheme</w:t>
      </w:r>
      <w:r w:rsidR="0048149D">
        <w:rPr>
          <w:rFonts w:cs="Arial"/>
          <w:bCs/>
        </w:rPr>
        <w:t xml:space="preserve"> (Sheffield</w:t>
      </w:r>
      <w:r w:rsidR="00066C1E">
        <w:rPr>
          <w:rFonts w:cs="Arial"/>
          <w:bCs/>
        </w:rPr>
        <w:t xml:space="preserve"> University </w:t>
      </w:r>
      <w:r w:rsidR="0048149D">
        <w:rPr>
          <w:rFonts w:cs="Arial"/>
          <w:bCs/>
        </w:rPr>
        <w:t>, 2016)</w:t>
      </w:r>
      <w:r w:rsidRPr="00413379">
        <w:rPr>
          <w:rFonts w:cs="Arial"/>
          <w:bCs/>
        </w:rPr>
        <w:t>, reveals good uptake across all STEM disciplines</w:t>
      </w:r>
      <w:r w:rsidR="00D62238">
        <w:rPr>
          <w:rFonts w:cs="Arial"/>
          <w:bCs/>
        </w:rPr>
        <w:t>,</w:t>
      </w:r>
      <w:r w:rsidRPr="00413379">
        <w:rPr>
          <w:rFonts w:cs="Arial"/>
          <w:bCs/>
        </w:rPr>
        <w:t xml:space="preserve"> as well as</w:t>
      </w:r>
      <w:r w:rsidR="00D62238">
        <w:rPr>
          <w:rFonts w:cs="Arial"/>
          <w:bCs/>
        </w:rPr>
        <w:t xml:space="preserve"> in </w:t>
      </w:r>
      <w:r w:rsidRPr="00413379">
        <w:rPr>
          <w:rFonts w:cs="Arial"/>
          <w:bCs/>
        </w:rPr>
        <w:t xml:space="preserve"> arts and human science subjects. </w:t>
      </w:r>
    </w:p>
    <w:p w:rsidR="00C12D3E" w:rsidRDefault="00413379" w:rsidP="00413379">
      <w:pPr>
        <w:rPr>
          <w:rStyle w:val="Hyperlink"/>
          <w:rFonts w:cs="Arial"/>
          <w:bCs/>
        </w:rPr>
      </w:pPr>
      <w:r w:rsidRPr="00413379">
        <w:rPr>
          <w:rFonts w:cs="Arial"/>
          <w:bCs/>
        </w:rPr>
        <w:lastRenderedPageBreak/>
        <w:t xml:space="preserve">Elsewhere in the </w:t>
      </w:r>
      <w:proofErr w:type="gramStart"/>
      <w:r w:rsidRPr="00413379">
        <w:rPr>
          <w:rFonts w:cs="Arial"/>
          <w:bCs/>
        </w:rPr>
        <w:t>UK</w:t>
      </w:r>
      <w:r w:rsidRPr="00413379">
        <w:rPr>
          <w:rFonts w:cs="Arial"/>
          <w:lang w:eastAsia="en-GB"/>
        </w:rPr>
        <w:t xml:space="preserve"> </w:t>
      </w:r>
      <w:r w:rsidR="00D62238">
        <w:rPr>
          <w:rFonts w:cs="Arial"/>
          <w:lang w:eastAsia="en-GB"/>
        </w:rPr>
        <w:t>,</w:t>
      </w:r>
      <w:proofErr w:type="gramEnd"/>
      <w:r w:rsidR="00D62238">
        <w:rPr>
          <w:rFonts w:cs="Arial"/>
          <w:lang w:eastAsia="en-GB"/>
        </w:rPr>
        <w:t xml:space="preserve"> </w:t>
      </w:r>
      <w:r w:rsidRPr="00413379">
        <w:rPr>
          <w:rFonts w:cs="Arial"/>
          <w:lang w:eastAsia="en-GB"/>
        </w:rPr>
        <w:t>SUR experiences are</w:t>
      </w:r>
      <w:r w:rsidR="0047774E">
        <w:rPr>
          <w:rFonts w:cs="Arial"/>
          <w:lang w:eastAsia="en-GB"/>
        </w:rPr>
        <w:t xml:space="preserve"> </w:t>
      </w:r>
      <w:r w:rsidRPr="00413379">
        <w:rPr>
          <w:rFonts w:cs="Arial"/>
          <w:lang w:eastAsia="en-GB"/>
        </w:rPr>
        <w:t xml:space="preserve">organised and funded at departmental level, for example, </w:t>
      </w:r>
      <w:r w:rsidR="00CE589C" w:rsidRPr="00413379">
        <w:rPr>
          <w:rFonts w:cs="Arial"/>
          <w:lang w:eastAsia="en-GB"/>
        </w:rPr>
        <w:t>for Biological</w:t>
      </w:r>
      <w:r w:rsidRPr="00413379">
        <w:rPr>
          <w:rFonts w:cs="Arial"/>
          <w:lang w:eastAsia="en-GB"/>
        </w:rPr>
        <w:t xml:space="preserve"> </w:t>
      </w:r>
      <w:r w:rsidR="00CE589C" w:rsidRPr="00413379">
        <w:rPr>
          <w:rFonts w:cs="Arial"/>
          <w:lang w:eastAsia="en-GB"/>
        </w:rPr>
        <w:t>sciences York</w:t>
      </w:r>
      <w:r w:rsidRPr="00413379">
        <w:rPr>
          <w:rFonts w:cs="Arial"/>
          <w:lang w:eastAsia="en-GB"/>
        </w:rPr>
        <w:t xml:space="preserve">, </w:t>
      </w:r>
      <w:proofErr w:type="spellStart"/>
      <w:r w:rsidRPr="00413379">
        <w:rPr>
          <w:rFonts w:cs="Arial"/>
          <w:lang w:eastAsia="en-GB"/>
        </w:rPr>
        <w:t>Birkbeck</w:t>
      </w:r>
      <w:proofErr w:type="spellEnd"/>
      <w:r w:rsidRPr="00413379">
        <w:rPr>
          <w:rFonts w:cs="Arial"/>
          <w:lang w:eastAsia="en-GB"/>
        </w:rPr>
        <w:t xml:space="preserve">, Dundee, Leeds, </w:t>
      </w:r>
      <w:r w:rsidR="00CE589C" w:rsidRPr="00413379">
        <w:rPr>
          <w:rFonts w:cs="Arial"/>
          <w:lang w:eastAsia="en-GB"/>
        </w:rPr>
        <w:t>and Newcastle</w:t>
      </w:r>
      <w:r w:rsidRPr="00413379">
        <w:rPr>
          <w:rFonts w:cs="Arial"/>
          <w:lang w:eastAsia="en-GB"/>
        </w:rPr>
        <w:t xml:space="preserve"> run departmental schemes.  Across the UK schemes are also run in Maths, Medicine, Physics, Engineering, Psychology and Sociology departments.</w:t>
      </w:r>
      <w:r w:rsidR="00643F82">
        <w:rPr>
          <w:rFonts w:cs="Arial"/>
          <w:lang w:eastAsia="en-GB"/>
        </w:rPr>
        <w:t xml:space="preserve"> </w:t>
      </w:r>
      <w:r w:rsidR="00C51682">
        <w:rPr>
          <w:rFonts w:cs="Arial"/>
          <w:lang w:eastAsia="en-GB"/>
        </w:rPr>
        <w:t>Univ</w:t>
      </w:r>
      <w:r w:rsidR="00C51682" w:rsidRPr="00413379">
        <w:rPr>
          <w:rFonts w:cs="Arial"/>
          <w:lang w:eastAsia="en-GB"/>
        </w:rPr>
        <w:t>ersities</w:t>
      </w:r>
      <w:r w:rsidRPr="00413379">
        <w:rPr>
          <w:rFonts w:cs="Arial"/>
          <w:lang w:eastAsia="en-GB"/>
        </w:rPr>
        <w:t xml:space="preserve"> also promote n</w:t>
      </w:r>
      <w:r w:rsidR="00D62238">
        <w:rPr>
          <w:rFonts w:cs="Arial"/>
          <w:bCs/>
        </w:rPr>
        <w:t>ational u</w:t>
      </w:r>
      <w:r w:rsidRPr="00413379">
        <w:rPr>
          <w:rFonts w:cs="Arial"/>
          <w:bCs/>
        </w:rPr>
        <w:t xml:space="preserve">ndergraduate research bursary schemes funded by charities, research bodies, and professional societies e.g. Wellcome, Royal Society of Chemistry, Royal Academy of Engineering </w:t>
      </w:r>
      <w:r w:rsidR="00CE589C" w:rsidRPr="00413379">
        <w:rPr>
          <w:rFonts w:cs="Arial"/>
          <w:bCs/>
        </w:rPr>
        <w:t>and EPRSC</w:t>
      </w:r>
      <w:r w:rsidRPr="00413379">
        <w:rPr>
          <w:rFonts w:cs="Arial"/>
          <w:bCs/>
        </w:rPr>
        <w:t xml:space="preserve">. </w:t>
      </w:r>
      <w:r w:rsidR="0048149D">
        <w:rPr>
          <w:rFonts w:cs="Arial"/>
          <w:bCs/>
        </w:rPr>
        <w:t xml:space="preserve"> </w:t>
      </w:r>
      <w:r w:rsidRPr="00413379">
        <w:rPr>
          <w:rFonts w:cs="Arial"/>
          <w:bCs/>
        </w:rPr>
        <w:t>In these cases students apply to the fundi</w:t>
      </w:r>
      <w:r w:rsidR="00C51682">
        <w:rPr>
          <w:rFonts w:cs="Arial"/>
          <w:bCs/>
        </w:rPr>
        <w:t>ng body with details of a prop</w:t>
      </w:r>
      <w:r w:rsidRPr="00413379">
        <w:rPr>
          <w:rFonts w:cs="Arial"/>
          <w:bCs/>
        </w:rPr>
        <w:t>ose</w:t>
      </w:r>
      <w:r w:rsidR="00C51682">
        <w:rPr>
          <w:rFonts w:cs="Arial"/>
          <w:bCs/>
        </w:rPr>
        <w:t>d</w:t>
      </w:r>
      <w:r w:rsidRPr="00413379">
        <w:rPr>
          <w:rFonts w:cs="Arial"/>
          <w:bCs/>
        </w:rPr>
        <w:t xml:space="preserve"> project and supervisor</w:t>
      </w:r>
      <w:r w:rsidR="00DD5C5B">
        <w:rPr>
          <w:rFonts w:cs="Arial"/>
          <w:bCs/>
        </w:rPr>
        <w:t xml:space="preserve"> (RSC, 2016; Wellcome 2016)</w:t>
      </w:r>
      <w:r w:rsidR="00066C1E">
        <w:rPr>
          <w:rFonts w:cs="Arial"/>
          <w:bCs/>
        </w:rPr>
        <w:t xml:space="preserve">. </w:t>
      </w:r>
      <w:r w:rsidRPr="00413379">
        <w:rPr>
          <w:rFonts w:cs="Arial"/>
          <w:bCs/>
        </w:rPr>
        <w:t xml:space="preserve">They may also allow students to study at an institution different to their own.  </w:t>
      </w:r>
    </w:p>
    <w:p w:rsidR="00066C1E" w:rsidRPr="00066C1E" w:rsidRDefault="00C12D3E" w:rsidP="00413379">
      <w:pPr>
        <w:rPr>
          <w:rFonts w:cs="Arial"/>
          <w:shd w:val="clear" w:color="auto" w:fill="FFFFFF"/>
        </w:rPr>
      </w:pPr>
      <w:r w:rsidRPr="00066C1E">
        <w:rPr>
          <w:rStyle w:val="Hyperlink"/>
          <w:rFonts w:cs="Arial"/>
          <w:bCs/>
          <w:color w:val="auto"/>
          <w:u w:val="none"/>
        </w:rPr>
        <w:t>In a review of</w:t>
      </w:r>
      <w:r w:rsidR="0048149D" w:rsidRPr="00066C1E">
        <w:rPr>
          <w:rStyle w:val="Hyperlink"/>
          <w:rFonts w:cs="Arial"/>
          <w:bCs/>
          <w:color w:val="auto"/>
          <w:u w:val="none"/>
        </w:rPr>
        <w:t xml:space="preserve"> r</w:t>
      </w:r>
      <w:r w:rsidRPr="00066C1E">
        <w:rPr>
          <w:rStyle w:val="Hyperlink"/>
          <w:rFonts w:cs="Arial"/>
          <w:bCs/>
          <w:color w:val="auto"/>
          <w:u w:val="none"/>
        </w:rPr>
        <w:t>esearch car</w:t>
      </w:r>
      <w:r w:rsidR="00066C1E" w:rsidRPr="00066C1E">
        <w:rPr>
          <w:rStyle w:val="Hyperlink"/>
          <w:rFonts w:cs="Arial"/>
          <w:bCs/>
          <w:color w:val="auto"/>
          <w:u w:val="none"/>
        </w:rPr>
        <w:t>eers in the UK</w:t>
      </w:r>
      <w:r w:rsidR="00D62238">
        <w:rPr>
          <w:rStyle w:val="Hyperlink"/>
          <w:rFonts w:cs="Arial"/>
          <w:bCs/>
          <w:color w:val="auto"/>
          <w:u w:val="none"/>
        </w:rPr>
        <w:t>,</w:t>
      </w:r>
      <w:r w:rsidR="00066C1E" w:rsidRPr="00066C1E">
        <w:rPr>
          <w:rStyle w:val="Hyperlink"/>
          <w:rFonts w:cs="Arial"/>
          <w:bCs/>
          <w:color w:val="auto"/>
          <w:u w:val="none"/>
        </w:rPr>
        <w:t xml:space="preserve"> Thrift (2008) </w:t>
      </w:r>
      <w:r w:rsidRPr="00066C1E">
        <w:rPr>
          <w:rStyle w:val="Hyperlink"/>
          <w:rFonts w:cs="Arial"/>
          <w:bCs/>
          <w:color w:val="auto"/>
          <w:u w:val="none"/>
        </w:rPr>
        <w:t xml:space="preserve">argued for research </w:t>
      </w:r>
      <w:r w:rsidR="00CE589C" w:rsidRPr="00066C1E">
        <w:rPr>
          <w:rStyle w:val="Hyperlink"/>
          <w:rFonts w:cs="Arial"/>
          <w:bCs/>
          <w:color w:val="auto"/>
          <w:u w:val="none"/>
        </w:rPr>
        <w:t>councils to</w:t>
      </w:r>
      <w:r w:rsidRPr="00066C1E">
        <w:rPr>
          <w:rStyle w:val="Hyperlink"/>
          <w:rFonts w:cs="Arial"/>
          <w:bCs/>
          <w:color w:val="auto"/>
          <w:u w:val="none"/>
        </w:rPr>
        <w:t xml:space="preserve"> </w:t>
      </w:r>
      <w:r w:rsidR="00CF437A" w:rsidRPr="00066C1E">
        <w:t>develop a national research experiences p</w:t>
      </w:r>
      <w:r w:rsidRPr="00066C1E">
        <w:t>rogramme for undergraduate</w:t>
      </w:r>
      <w:r w:rsidR="00CF437A" w:rsidRPr="00066C1E">
        <w:t xml:space="preserve">s. </w:t>
      </w:r>
      <w:r w:rsidR="00066C1E" w:rsidRPr="00066C1E">
        <w:t xml:space="preserve"> Some action has been taken on this recommendation; the EPRSC</w:t>
      </w:r>
      <w:r w:rsidR="00066C1E">
        <w:t xml:space="preserve"> (2016</w:t>
      </w:r>
      <w:r w:rsidR="00CE589C">
        <w:t xml:space="preserve">) </w:t>
      </w:r>
      <w:r w:rsidR="00CE589C" w:rsidRPr="00066C1E">
        <w:t>run</w:t>
      </w:r>
      <w:r w:rsidR="00066C1E" w:rsidRPr="00066C1E">
        <w:t xml:space="preserve"> a </w:t>
      </w:r>
      <w:r w:rsidR="00D62238">
        <w:rPr>
          <w:rFonts w:cs="Arial"/>
          <w:shd w:val="clear" w:color="auto" w:fill="FFFFFF"/>
        </w:rPr>
        <w:t xml:space="preserve">Vacation Bursary </w:t>
      </w:r>
      <w:r w:rsidR="00D62238">
        <w:rPr>
          <w:rFonts w:cs="Arial"/>
          <w:shd w:val="clear" w:color="auto" w:fill="FFFFFF"/>
        </w:rPr>
        <w:lastRenderedPageBreak/>
        <w:t>S</w:t>
      </w:r>
      <w:r w:rsidR="00066C1E" w:rsidRPr="00066C1E">
        <w:rPr>
          <w:rFonts w:cs="Arial"/>
          <w:shd w:val="clear" w:color="auto" w:fill="FFFFFF"/>
        </w:rPr>
        <w:t>cheme</w:t>
      </w:r>
      <w:r w:rsidR="00D62238">
        <w:rPr>
          <w:rFonts w:cs="Arial"/>
          <w:shd w:val="clear" w:color="auto" w:fill="FFFFFF"/>
        </w:rPr>
        <w:t xml:space="preserve"> (VBS</w:t>
      </w:r>
      <w:proofErr w:type="gramStart"/>
      <w:r w:rsidR="00D62238">
        <w:rPr>
          <w:rFonts w:cs="Arial"/>
          <w:shd w:val="clear" w:color="auto" w:fill="FFFFFF"/>
        </w:rPr>
        <w:t xml:space="preserve">) </w:t>
      </w:r>
      <w:r w:rsidR="00066C1E" w:rsidRPr="00066C1E">
        <w:rPr>
          <w:rFonts w:cs="Arial"/>
          <w:shd w:val="clear" w:color="auto" w:fill="FFFFFF"/>
        </w:rPr>
        <w:t>,</w:t>
      </w:r>
      <w:proofErr w:type="gramEnd"/>
      <w:r w:rsidR="00066C1E" w:rsidRPr="00066C1E">
        <w:rPr>
          <w:rFonts w:cs="Arial"/>
          <w:shd w:val="clear" w:color="auto" w:fill="FFFFFF"/>
        </w:rPr>
        <w:t xml:space="preserve"> but these are only available </w:t>
      </w:r>
      <w:r w:rsidR="00CE589C" w:rsidRPr="00066C1E">
        <w:rPr>
          <w:rFonts w:cs="Arial"/>
          <w:shd w:val="clear" w:color="auto" w:fill="FFFFFF"/>
        </w:rPr>
        <w:t>to Universities</w:t>
      </w:r>
      <w:r w:rsidR="00066C1E" w:rsidRPr="00066C1E">
        <w:rPr>
          <w:rFonts w:cs="Arial"/>
          <w:shd w:val="clear" w:color="auto" w:fill="FFFFFF"/>
        </w:rPr>
        <w:t xml:space="preserve"> with</w:t>
      </w:r>
      <w:r w:rsidR="00066C1E" w:rsidRPr="00066C1E">
        <w:rPr>
          <w:rStyle w:val="apple-converted-space"/>
          <w:rFonts w:cs="Arial"/>
          <w:shd w:val="clear" w:color="auto" w:fill="FFFFFF"/>
        </w:rPr>
        <w:t> </w:t>
      </w:r>
      <w:r w:rsidR="00066C1E" w:rsidRPr="00066C1E">
        <w:t>EPSRC</w:t>
      </w:r>
      <w:r w:rsidR="00066C1E" w:rsidRPr="00066C1E">
        <w:rPr>
          <w:rStyle w:val="apple-converted-space"/>
          <w:rFonts w:cs="Arial"/>
          <w:shd w:val="clear" w:color="auto" w:fill="FFFFFF"/>
        </w:rPr>
        <w:t> </w:t>
      </w:r>
      <w:r w:rsidR="00066C1E" w:rsidRPr="00066C1E">
        <w:rPr>
          <w:rFonts w:cs="Arial"/>
          <w:shd w:val="clear" w:color="auto" w:fill="FFFFFF"/>
        </w:rPr>
        <w:t>Doctoral Training Partnerships (</w:t>
      </w:r>
      <w:r w:rsidR="00066C1E" w:rsidRPr="00066C1E">
        <w:t>DTP</w:t>
      </w:r>
      <w:r w:rsidR="00066C1E" w:rsidRPr="00066C1E">
        <w:rPr>
          <w:rFonts w:cs="Arial"/>
          <w:shd w:val="clear" w:color="auto" w:fill="FFFFFF"/>
        </w:rPr>
        <w:t xml:space="preserve">s). In this scheme </w:t>
      </w:r>
      <w:r w:rsidR="00CE589C" w:rsidRPr="00066C1E">
        <w:rPr>
          <w:rFonts w:cs="Arial"/>
          <w:shd w:val="clear" w:color="auto" w:fill="FFFFFF"/>
        </w:rPr>
        <w:t>a university</w:t>
      </w:r>
      <w:r w:rsidR="00066C1E" w:rsidRPr="00066C1E">
        <w:rPr>
          <w:rFonts w:cs="Arial"/>
          <w:shd w:val="clear" w:color="auto" w:fill="FFFFFF"/>
        </w:rPr>
        <w:t xml:space="preserve"> can award up to 15 bursaries per year.</w:t>
      </w:r>
    </w:p>
    <w:p w:rsidR="00413379" w:rsidRPr="00413379" w:rsidRDefault="00413379" w:rsidP="00413379">
      <w:pPr>
        <w:rPr>
          <w:rFonts w:cs="Arial"/>
        </w:rPr>
      </w:pPr>
      <w:r w:rsidRPr="00413379">
        <w:rPr>
          <w:rFonts w:cs="Arial"/>
        </w:rPr>
        <w:t>Healy and Jenkins (2009) have published widely on the ways in which students can be engaged in research. They indicate that there are four ways of engaging undergraduates with research:</w:t>
      </w:r>
    </w:p>
    <w:p w:rsidR="00413379" w:rsidRPr="00413379" w:rsidRDefault="00413379" w:rsidP="00413379">
      <w:pPr>
        <w:numPr>
          <w:ilvl w:val="0"/>
          <w:numId w:val="2"/>
        </w:numPr>
        <w:rPr>
          <w:rFonts w:cs="Arial"/>
        </w:rPr>
      </w:pPr>
      <w:r w:rsidRPr="00413379">
        <w:rPr>
          <w:rFonts w:cs="Arial"/>
        </w:rPr>
        <w:t>research-led teaching : learning about current research in the discipline;</w:t>
      </w:r>
    </w:p>
    <w:p w:rsidR="00413379" w:rsidRPr="00413379" w:rsidRDefault="00413379" w:rsidP="00413379">
      <w:pPr>
        <w:numPr>
          <w:ilvl w:val="0"/>
          <w:numId w:val="2"/>
        </w:numPr>
        <w:rPr>
          <w:rFonts w:cs="Arial"/>
        </w:rPr>
      </w:pPr>
      <w:r w:rsidRPr="00413379">
        <w:rPr>
          <w:rFonts w:cs="Arial"/>
        </w:rPr>
        <w:t xml:space="preserve"> research-oriented teaching : developing research skills and techniques; </w:t>
      </w:r>
    </w:p>
    <w:p w:rsidR="00413379" w:rsidRPr="00413379" w:rsidRDefault="00413379" w:rsidP="00413379">
      <w:pPr>
        <w:numPr>
          <w:ilvl w:val="0"/>
          <w:numId w:val="2"/>
        </w:numPr>
        <w:rPr>
          <w:rFonts w:cs="Arial"/>
        </w:rPr>
      </w:pPr>
      <w:r w:rsidRPr="00413379">
        <w:rPr>
          <w:rFonts w:cs="Arial"/>
        </w:rPr>
        <w:t xml:space="preserve">research-based teaching : undertaking research and inquiry; </w:t>
      </w:r>
    </w:p>
    <w:p w:rsidR="00413379" w:rsidRPr="00413379" w:rsidRDefault="00413379" w:rsidP="00413379">
      <w:pPr>
        <w:numPr>
          <w:ilvl w:val="0"/>
          <w:numId w:val="2"/>
        </w:numPr>
        <w:rPr>
          <w:rFonts w:cs="Arial"/>
        </w:rPr>
      </w:pPr>
      <w:r w:rsidRPr="00413379">
        <w:rPr>
          <w:rFonts w:cs="Arial"/>
        </w:rPr>
        <w:t>research-tutored: engaging in research discussions.</w:t>
      </w:r>
    </w:p>
    <w:p w:rsidR="00413379" w:rsidRPr="00413379" w:rsidRDefault="00413379" w:rsidP="00413379">
      <w:pPr>
        <w:rPr>
          <w:rFonts w:cs="Arial"/>
        </w:rPr>
      </w:pPr>
      <w:r w:rsidRPr="00413379">
        <w:rPr>
          <w:rFonts w:cs="Arial"/>
        </w:rPr>
        <w:t>The value of SUR experiences is that they can embrace all four</w:t>
      </w:r>
      <w:r w:rsidR="00D62238">
        <w:rPr>
          <w:rFonts w:cs="Arial"/>
        </w:rPr>
        <w:t xml:space="preserve"> aspects</w:t>
      </w:r>
      <w:r w:rsidRPr="00413379">
        <w:rPr>
          <w:rFonts w:cs="Arial"/>
        </w:rPr>
        <w:t xml:space="preserve">. Hunter, Laursen and Seymour  highlighted that SUR internships involving student staff </w:t>
      </w:r>
      <w:r w:rsidRPr="00413379">
        <w:rPr>
          <w:rFonts w:cs="Arial"/>
        </w:rPr>
        <w:lastRenderedPageBreak/>
        <w:t xml:space="preserve">partnerships  are examples of constructivist learning and fit Vygotsky’s learning model </w:t>
      </w:r>
      <w:r w:rsidR="00DB24D4">
        <w:rPr>
          <w:rFonts w:cs="Arial"/>
        </w:rPr>
        <w:t xml:space="preserve">(1978) </w:t>
      </w:r>
      <w:r w:rsidRPr="00413379">
        <w:rPr>
          <w:rFonts w:cs="Arial"/>
        </w:rPr>
        <w:t>and Wenger’s “ communities of practice”</w:t>
      </w:r>
      <w:r w:rsidR="00DB24D4">
        <w:rPr>
          <w:rFonts w:cs="Arial"/>
        </w:rPr>
        <w:t xml:space="preserve"> (1998)</w:t>
      </w:r>
      <w:r w:rsidRPr="00413379">
        <w:rPr>
          <w:rFonts w:cs="Arial"/>
        </w:rPr>
        <w:t>, where students’ learning can be extended by working closely with a group of adult experts in their discipline.</w:t>
      </w:r>
    </w:p>
    <w:p w:rsidR="00A11CA7" w:rsidRPr="00A11CA7" w:rsidRDefault="00413379" w:rsidP="00A11CA7">
      <w:pPr>
        <w:rPr>
          <w:rFonts w:cs="Arial"/>
          <w:lang w:eastAsia="en-GB"/>
        </w:rPr>
      </w:pPr>
      <w:r w:rsidRPr="00A11CA7">
        <w:rPr>
          <w:rFonts w:cs="Arial"/>
        </w:rPr>
        <w:t xml:space="preserve">In the United States of America, SUR internships are long </w:t>
      </w:r>
      <w:r w:rsidR="00CE589C" w:rsidRPr="00A11CA7">
        <w:rPr>
          <w:rFonts w:cs="Arial"/>
        </w:rPr>
        <w:t>established and</w:t>
      </w:r>
      <w:r w:rsidRPr="00A11CA7">
        <w:rPr>
          <w:rFonts w:cs="Arial"/>
        </w:rPr>
        <w:t xml:space="preserve"> there is a significant body of research evidencing the gains that students get from such experiences.  Seymour </w:t>
      </w:r>
      <w:r w:rsidRPr="00275998">
        <w:rPr>
          <w:rFonts w:cs="Arial"/>
          <w:i/>
        </w:rPr>
        <w:t>et al</w:t>
      </w:r>
      <w:r w:rsidR="00275998">
        <w:rPr>
          <w:rFonts w:cs="Arial"/>
        </w:rPr>
        <w:t>.</w:t>
      </w:r>
      <w:r w:rsidRPr="00A11CA7">
        <w:rPr>
          <w:rFonts w:cs="Arial"/>
        </w:rPr>
        <w:t xml:space="preserve"> </w:t>
      </w:r>
      <w:r w:rsidR="00DB24D4">
        <w:rPr>
          <w:rFonts w:cs="Arial"/>
        </w:rPr>
        <w:t>(</w:t>
      </w:r>
      <w:r w:rsidRPr="00A11CA7">
        <w:rPr>
          <w:rFonts w:cs="Arial"/>
        </w:rPr>
        <w:t>2004</w:t>
      </w:r>
      <w:r w:rsidR="00DB24D4">
        <w:rPr>
          <w:rFonts w:cs="Arial"/>
        </w:rPr>
        <w:t>)</w:t>
      </w:r>
      <w:r w:rsidRPr="00A11CA7">
        <w:rPr>
          <w:rFonts w:cs="Arial"/>
        </w:rPr>
        <w:t xml:space="preserve"> reported that </w:t>
      </w:r>
      <w:r w:rsidR="00643F82">
        <w:rPr>
          <w:rFonts w:cs="Arial"/>
        </w:rPr>
        <w:t xml:space="preserve">in interviews with 76 students, five </w:t>
      </w:r>
      <w:r w:rsidR="00CE589C" w:rsidRPr="00A11CA7">
        <w:rPr>
          <w:rFonts w:cs="Arial"/>
        </w:rPr>
        <w:t>mains types</w:t>
      </w:r>
      <w:r w:rsidRPr="00A11CA7">
        <w:rPr>
          <w:rFonts w:cs="Arial"/>
        </w:rPr>
        <w:t xml:space="preserve"> of benefits were identified by the students:  </w:t>
      </w:r>
      <w:r w:rsidRPr="00A11CA7">
        <w:rPr>
          <w:rFonts w:cs="Arial"/>
          <w:lang w:eastAsia="en-GB"/>
        </w:rPr>
        <w:t xml:space="preserve">personal/professional gains (28%); development as a scientist (28%); skills development (19%); clarification of career </w:t>
      </w:r>
      <w:r w:rsidR="00CE589C" w:rsidRPr="00A11CA7">
        <w:rPr>
          <w:rFonts w:cs="Arial"/>
          <w:lang w:eastAsia="en-GB"/>
        </w:rPr>
        <w:t>plans (</w:t>
      </w:r>
      <w:r w:rsidRPr="00A11CA7">
        <w:rPr>
          <w:rFonts w:cs="Arial"/>
          <w:lang w:eastAsia="en-GB"/>
        </w:rPr>
        <w:t>12%) and prep</w:t>
      </w:r>
      <w:r w:rsidR="00865ED0" w:rsidRPr="00A11CA7">
        <w:rPr>
          <w:rFonts w:cs="Arial"/>
          <w:lang w:eastAsia="en-GB"/>
        </w:rPr>
        <w:t>a</w:t>
      </w:r>
      <w:r w:rsidRPr="00A11CA7">
        <w:rPr>
          <w:rFonts w:cs="Arial"/>
          <w:lang w:eastAsia="en-GB"/>
        </w:rPr>
        <w:t>ration fo</w:t>
      </w:r>
      <w:r w:rsidR="00D62238">
        <w:rPr>
          <w:rFonts w:cs="Arial"/>
          <w:lang w:eastAsia="en-GB"/>
        </w:rPr>
        <w:t xml:space="preserve">r future study/career (9%). </w:t>
      </w:r>
      <w:r w:rsidRPr="00A11CA7">
        <w:rPr>
          <w:rFonts w:cs="Arial"/>
          <w:lang w:eastAsia="en-GB"/>
        </w:rPr>
        <w:t xml:space="preserve">Hunter </w:t>
      </w:r>
      <w:r w:rsidRPr="00D62238">
        <w:rPr>
          <w:rFonts w:cs="Arial"/>
          <w:i/>
          <w:lang w:eastAsia="en-GB"/>
        </w:rPr>
        <w:t>et al</w:t>
      </w:r>
      <w:r w:rsidR="00D62238" w:rsidRPr="00D62238">
        <w:rPr>
          <w:rFonts w:cs="Arial"/>
          <w:i/>
          <w:lang w:eastAsia="en-GB"/>
        </w:rPr>
        <w:t>.</w:t>
      </w:r>
      <w:r w:rsidR="00D62238">
        <w:rPr>
          <w:rFonts w:cs="Arial"/>
          <w:lang w:eastAsia="en-GB"/>
        </w:rPr>
        <w:t xml:space="preserve"> 2007</w:t>
      </w:r>
      <w:r w:rsidR="00164AD5">
        <w:rPr>
          <w:rFonts w:cs="Arial"/>
          <w:lang w:eastAsia="en-GB"/>
        </w:rPr>
        <w:t xml:space="preserve"> subsequently developed</w:t>
      </w:r>
      <w:r w:rsidRPr="00A11CA7">
        <w:rPr>
          <w:rFonts w:cs="Arial"/>
          <w:lang w:eastAsia="en-GB"/>
        </w:rPr>
        <w:t xml:space="preserve"> the </w:t>
      </w:r>
      <w:r w:rsidRPr="00A11CA7">
        <w:rPr>
          <w:rFonts w:cs="Arial"/>
        </w:rPr>
        <w:t>Undergraduate Research Student Self-Assessment</w:t>
      </w:r>
      <w:r w:rsidR="00D62238">
        <w:rPr>
          <w:rFonts w:cs="Arial"/>
        </w:rPr>
        <w:t xml:space="preserve"> (URSSA)</w:t>
      </w:r>
      <w:r w:rsidRPr="00A11CA7">
        <w:rPr>
          <w:rFonts w:cs="Arial"/>
        </w:rPr>
        <w:t>, an extensive survey</w:t>
      </w:r>
      <w:r w:rsidR="00D62238">
        <w:rPr>
          <w:rFonts w:cs="Arial"/>
          <w:lang w:eastAsia="en-GB"/>
        </w:rPr>
        <w:t xml:space="preserve"> containing</w:t>
      </w:r>
      <w:r w:rsidRPr="00A11CA7">
        <w:rPr>
          <w:rFonts w:cs="Arial"/>
          <w:lang w:eastAsia="en-GB"/>
        </w:rPr>
        <w:t xml:space="preserve"> multiple questions exploring each of these gains. This has since been used to further evaluate su</w:t>
      </w:r>
      <w:r w:rsidR="00865ED0" w:rsidRPr="00A11CA7">
        <w:rPr>
          <w:rFonts w:cs="Arial"/>
          <w:lang w:eastAsia="en-GB"/>
        </w:rPr>
        <w:t xml:space="preserve">ch schemes </w:t>
      </w:r>
      <w:r w:rsidRPr="00A11CA7">
        <w:rPr>
          <w:rFonts w:cs="Arial"/>
          <w:lang w:eastAsia="en-GB"/>
        </w:rPr>
        <w:t xml:space="preserve">(Thiry </w:t>
      </w:r>
      <w:r w:rsidRPr="00275998">
        <w:rPr>
          <w:rFonts w:cs="Arial"/>
          <w:i/>
          <w:lang w:eastAsia="en-GB"/>
        </w:rPr>
        <w:t>et al</w:t>
      </w:r>
      <w:r w:rsidR="00275998" w:rsidRPr="00275998">
        <w:rPr>
          <w:rFonts w:cs="Arial"/>
          <w:i/>
          <w:lang w:eastAsia="en-GB"/>
        </w:rPr>
        <w:t>.</w:t>
      </w:r>
      <w:r w:rsidR="0042621A">
        <w:rPr>
          <w:rFonts w:cs="Arial"/>
          <w:lang w:eastAsia="en-GB"/>
        </w:rPr>
        <w:t xml:space="preserve"> 2012; Stanf</w:t>
      </w:r>
      <w:r w:rsidR="00D62238">
        <w:rPr>
          <w:rFonts w:cs="Arial"/>
          <w:lang w:eastAsia="en-GB"/>
        </w:rPr>
        <w:t xml:space="preserve">ord </w:t>
      </w:r>
      <w:r w:rsidR="00D62238" w:rsidRPr="00D62238">
        <w:rPr>
          <w:rFonts w:cs="Arial"/>
          <w:i/>
          <w:lang w:eastAsia="en-GB"/>
        </w:rPr>
        <w:t>et al.</w:t>
      </w:r>
      <w:r w:rsidR="00D62238">
        <w:rPr>
          <w:rFonts w:cs="Arial"/>
          <w:lang w:eastAsia="en-GB"/>
        </w:rPr>
        <w:t xml:space="preserve"> </w:t>
      </w:r>
      <w:r w:rsidR="00D62238">
        <w:rPr>
          <w:rFonts w:cs="Arial"/>
          <w:lang w:eastAsia="en-GB"/>
        </w:rPr>
        <w:lastRenderedPageBreak/>
        <w:t>2015</w:t>
      </w:r>
      <w:r w:rsidR="0042621A">
        <w:rPr>
          <w:rFonts w:cs="Arial"/>
          <w:lang w:eastAsia="en-GB"/>
        </w:rPr>
        <w:t>)</w:t>
      </w:r>
      <w:r w:rsidRPr="00A11CA7">
        <w:rPr>
          <w:rFonts w:cs="Arial"/>
          <w:lang w:eastAsia="en-GB"/>
        </w:rPr>
        <w:t xml:space="preserve">. Thiry </w:t>
      </w:r>
      <w:r w:rsidRPr="00275998">
        <w:rPr>
          <w:rFonts w:cs="Arial"/>
          <w:i/>
          <w:lang w:eastAsia="en-GB"/>
        </w:rPr>
        <w:t>et al</w:t>
      </w:r>
      <w:r w:rsidR="00275998">
        <w:rPr>
          <w:rFonts w:cs="Arial"/>
          <w:lang w:eastAsia="en-GB"/>
        </w:rPr>
        <w:t>.</w:t>
      </w:r>
      <w:r w:rsidRPr="00A11CA7">
        <w:rPr>
          <w:rFonts w:cs="Arial"/>
          <w:lang w:eastAsia="en-GB"/>
        </w:rPr>
        <w:t xml:space="preserve"> </w:t>
      </w:r>
      <w:bookmarkStart w:id="0" w:name="_GoBack"/>
      <w:bookmarkEnd w:id="0"/>
      <w:r w:rsidR="00DB24D4">
        <w:rPr>
          <w:rFonts w:cs="Arial"/>
          <w:lang w:eastAsia="en-GB"/>
        </w:rPr>
        <w:t>(</w:t>
      </w:r>
      <w:r w:rsidRPr="00A11CA7">
        <w:rPr>
          <w:rFonts w:cs="Arial"/>
          <w:lang w:eastAsia="en-GB"/>
        </w:rPr>
        <w:t>2012</w:t>
      </w:r>
      <w:proofErr w:type="gramStart"/>
      <w:r w:rsidR="00DB24D4">
        <w:rPr>
          <w:rFonts w:cs="Arial"/>
          <w:lang w:eastAsia="en-GB"/>
        </w:rPr>
        <w:t>)</w:t>
      </w:r>
      <w:r w:rsidR="0042621A">
        <w:rPr>
          <w:rFonts w:cs="Arial"/>
          <w:lang w:eastAsia="en-GB"/>
        </w:rPr>
        <w:t xml:space="preserve"> </w:t>
      </w:r>
      <w:r w:rsidR="00865ED0" w:rsidRPr="00A11CA7">
        <w:rPr>
          <w:rFonts w:cs="Arial"/>
          <w:lang w:eastAsia="en-GB"/>
        </w:rPr>
        <w:t xml:space="preserve"> reported</w:t>
      </w:r>
      <w:proofErr w:type="gramEnd"/>
      <w:r w:rsidR="00865ED0" w:rsidRPr="00A11CA7">
        <w:rPr>
          <w:rFonts w:cs="Arial"/>
          <w:lang w:eastAsia="en-GB"/>
        </w:rPr>
        <w:t xml:space="preserve"> that </w:t>
      </w:r>
      <w:r w:rsidR="00CE589C">
        <w:rPr>
          <w:rFonts w:cs="Arial"/>
          <w:lang w:eastAsia="en-GB"/>
        </w:rPr>
        <w:t>good</w:t>
      </w:r>
      <w:r w:rsidR="00164AD5">
        <w:rPr>
          <w:rFonts w:cs="Arial"/>
          <w:lang w:eastAsia="en-GB"/>
        </w:rPr>
        <w:t xml:space="preserve"> supervision </w:t>
      </w:r>
      <w:r w:rsidR="00CE589C" w:rsidRPr="00A11CA7">
        <w:rPr>
          <w:rFonts w:cs="Arial"/>
          <w:lang w:eastAsia="en-GB"/>
        </w:rPr>
        <w:t>and authentic</w:t>
      </w:r>
      <w:r w:rsidRPr="00A11CA7">
        <w:rPr>
          <w:rFonts w:cs="Arial"/>
          <w:lang w:eastAsia="en-GB"/>
        </w:rPr>
        <w:t xml:space="preserve"> tasks that were part of a community </w:t>
      </w:r>
      <w:r w:rsidR="00CE589C" w:rsidRPr="00A11CA7">
        <w:rPr>
          <w:rFonts w:cs="Arial"/>
          <w:lang w:eastAsia="en-GB"/>
        </w:rPr>
        <w:t>of practice were important</w:t>
      </w:r>
      <w:r w:rsidRPr="00A11CA7">
        <w:rPr>
          <w:rFonts w:cs="Arial"/>
          <w:lang w:eastAsia="en-GB"/>
        </w:rPr>
        <w:t xml:space="preserve"> in</w:t>
      </w:r>
      <w:r w:rsidR="00865ED0" w:rsidRPr="00A11CA7">
        <w:rPr>
          <w:rFonts w:cs="Arial"/>
          <w:lang w:eastAsia="en-GB"/>
        </w:rPr>
        <w:t xml:space="preserve"> </w:t>
      </w:r>
      <w:r w:rsidRPr="00A11CA7">
        <w:rPr>
          <w:rFonts w:cs="Arial"/>
          <w:lang w:eastAsia="en-GB"/>
        </w:rPr>
        <w:t xml:space="preserve">providing </w:t>
      </w:r>
      <w:r w:rsidR="00CE589C">
        <w:rPr>
          <w:rFonts w:cs="Arial"/>
          <w:lang w:eastAsia="en-GB"/>
        </w:rPr>
        <w:t xml:space="preserve">a </w:t>
      </w:r>
      <w:r w:rsidR="00A11CA7" w:rsidRPr="00A11CA7">
        <w:rPr>
          <w:rFonts w:cs="Arial"/>
          <w:lang w:eastAsia="en-GB"/>
        </w:rPr>
        <w:t xml:space="preserve">high quality experience. </w:t>
      </w:r>
    </w:p>
    <w:p w:rsidR="00A11CA7" w:rsidRPr="00A11CA7" w:rsidRDefault="00D614A3" w:rsidP="00A11CA7">
      <w:pPr>
        <w:rPr>
          <w:rFonts w:cs="Arial"/>
        </w:rPr>
      </w:pPr>
      <w:r>
        <w:rPr>
          <w:rFonts w:cs="Arial"/>
        </w:rPr>
        <w:t>Lopatto (2004, 2007</w:t>
      </w:r>
      <w:r w:rsidR="00A11CA7" w:rsidRPr="00A11CA7">
        <w:rPr>
          <w:rFonts w:cs="Arial"/>
        </w:rPr>
        <w:t>) developed a shorter Survey of Undergraduate Research Experience</w:t>
      </w:r>
      <w:r w:rsidR="009328BB">
        <w:rPr>
          <w:rFonts w:cs="Arial"/>
        </w:rPr>
        <w:t xml:space="preserve"> (SURE</w:t>
      </w:r>
      <w:proofErr w:type="gramStart"/>
      <w:r w:rsidR="009328BB">
        <w:rPr>
          <w:rFonts w:cs="Arial"/>
        </w:rPr>
        <w:t xml:space="preserve">) </w:t>
      </w:r>
      <w:r w:rsidR="00A11CA7" w:rsidRPr="00A11CA7">
        <w:rPr>
          <w:rFonts w:cs="Arial"/>
        </w:rPr>
        <w:t xml:space="preserve"> in</w:t>
      </w:r>
      <w:proofErr w:type="gramEnd"/>
      <w:r w:rsidR="00A11CA7" w:rsidRPr="00A11CA7">
        <w:rPr>
          <w:rFonts w:cs="Arial"/>
        </w:rPr>
        <w:t xml:space="preserve"> which interns were asked to</w:t>
      </w:r>
      <w:r w:rsidR="00164AD5">
        <w:rPr>
          <w:rFonts w:cs="Arial"/>
        </w:rPr>
        <w:t xml:space="preserve"> measure their learning </w:t>
      </w:r>
      <w:r w:rsidR="00CE589C">
        <w:rPr>
          <w:rFonts w:cs="Arial"/>
        </w:rPr>
        <w:t>gains</w:t>
      </w:r>
      <w:r w:rsidR="00CE589C" w:rsidRPr="00A11CA7">
        <w:rPr>
          <w:rFonts w:cs="Arial"/>
        </w:rPr>
        <w:t xml:space="preserve"> for</w:t>
      </w:r>
      <w:r w:rsidR="00A11CA7" w:rsidRPr="00A11CA7">
        <w:rPr>
          <w:rFonts w:cs="Arial"/>
        </w:rPr>
        <w:t xml:space="preserve"> 20 items.  The largest student reported gains were for “understanding of the research process”, “readiness for more demanding research”, </w:t>
      </w:r>
      <w:r w:rsidR="00CE589C" w:rsidRPr="00A11CA7">
        <w:rPr>
          <w:rFonts w:cs="Arial"/>
        </w:rPr>
        <w:t>“understanding</w:t>
      </w:r>
      <w:r w:rsidR="00A11CA7" w:rsidRPr="00A11CA7">
        <w:rPr>
          <w:rFonts w:cs="Arial"/>
        </w:rPr>
        <w:t xml:space="preserve"> how scientists work on solving problems”, “learning laboratory techniques”, “tolerance for obstacles” and </w:t>
      </w:r>
      <w:r w:rsidR="00CE589C" w:rsidRPr="00A11CA7">
        <w:rPr>
          <w:rFonts w:cs="Arial"/>
        </w:rPr>
        <w:t>“working</w:t>
      </w:r>
      <w:r w:rsidR="00A11CA7" w:rsidRPr="00A11CA7">
        <w:rPr>
          <w:rFonts w:cs="Arial"/>
        </w:rPr>
        <w:t xml:space="preserve"> independently”. Interestingly the bottom four gains were Clarification of a career path, Skill in oral presentation skill in science writing and learning ethical conduct.</w:t>
      </w:r>
    </w:p>
    <w:p w:rsidR="00A11CA7" w:rsidRPr="00A11CA7" w:rsidRDefault="00A11CA7" w:rsidP="00D97046">
      <w:pPr>
        <w:rPr>
          <w:rFonts w:cs="Arial"/>
        </w:rPr>
      </w:pPr>
      <w:r w:rsidRPr="00A11CA7">
        <w:rPr>
          <w:rFonts w:cs="Arial"/>
        </w:rPr>
        <w:t xml:space="preserve">John and </w:t>
      </w:r>
      <w:r w:rsidR="00CE589C" w:rsidRPr="00A11CA7">
        <w:rPr>
          <w:rFonts w:cs="Arial"/>
        </w:rPr>
        <w:t xml:space="preserve">Creighton </w:t>
      </w:r>
      <w:r w:rsidR="00CE589C">
        <w:rPr>
          <w:rFonts w:cs="Arial"/>
        </w:rPr>
        <w:t>(</w:t>
      </w:r>
      <w:r w:rsidRPr="00A11CA7">
        <w:rPr>
          <w:rFonts w:cs="Arial"/>
        </w:rPr>
        <w:t>2011</w:t>
      </w:r>
      <w:r w:rsidR="00DB24D4">
        <w:rPr>
          <w:rFonts w:cs="Arial"/>
        </w:rPr>
        <w:t>)</w:t>
      </w:r>
      <w:r w:rsidRPr="00A11CA7">
        <w:rPr>
          <w:rFonts w:cs="Arial"/>
        </w:rPr>
        <w:t xml:space="preserve"> adapted the </w:t>
      </w:r>
      <w:r w:rsidR="00CE589C" w:rsidRPr="00A11CA7">
        <w:rPr>
          <w:rFonts w:cs="Arial"/>
        </w:rPr>
        <w:t>URSSA to</w:t>
      </w:r>
      <w:r w:rsidRPr="00A11CA7">
        <w:rPr>
          <w:rFonts w:cs="Arial"/>
        </w:rPr>
        <w:t xml:space="preserve"> measure the gains </w:t>
      </w:r>
      <w:r w:rsidR="00CE589C" w:rsidRPr="00A11CA7">
        <w:rPr>
          <w:rFonts w:cs="Arial"/>
        </w:rPr>
        <w:t>for UK</w:t>
      </w:r>
      <w:r w:rsidRPr="00A11CA7">
        <w:rPr>
          <w:rFonts w:cs="Arial"/>
        </w:rPr>
        <w:t xml:space="preserve"> SUR interns. The conclusions of this work were that interns </w:t>
      </w:r>
      <w:r w:rsidR="00643F82">
        <w:rPr>
          <w:rFonts w:cs="Arial"/>
        </w:rPr>
        <w:t>de</w:t>
      </w:r>
      <w:r w:rsidRPr="00A11CA7">
        <w:rPr>
          <w:rFonts w:cs="Arial"/>
        </w:rPr>
        <w:t>velop</w:t>
      </w:r>
      <w:r w:rsidR="00643F82">
        <w:rPr>
          <w:rFonts w:cs="Arial"/>
        </w:rPr>
        <w:t>ed</w:t>
      </w:r>
      <w:r w:rsidRPr="00A11CA7">
        <w:rPr>
          <w:rFonts w:cs="Arial"/>
        </w:rPr>
        <w:t xml:space="preserve"> a better understanding of the research process and confidence in engaging in research </w:t>
      </w:r>
      <w:r w:rsidRPr="00A11CA7">
        <w:rPr>
          <w:rFonts w:cs="Arial"/>
        </w:rPr>
        <w:lastRenderedPageBreak/>
        <w:t xml:space="preserve">but that they are unlikely to result in large increases in postgraduate recruitment. They also identify that a suitably challenging project is important to these gains. </w:t>
      </w:r>
      <w:r w:rsidRPr="00A11CA7">
        <w:rPr>
          <w:rFonts w:cs="Arial"/>
          <w:lang w:eastAsia="en-GB"/>
        </w:rPr>
        <w:t>Surveys by Russell et al (2004</w:t>
      </w:r>
      <w:r w:rsidR="00CE589C" w:rsidRPr="00A11CA7">
        <w:rPr>
          <w:rFonts w:cs="Arial"/>
          <w:lang w:eastAsia="en-GB"/>
        </w:rPr>
        <w:t>) in</w:t>
      </w:r>
      <w:r w:rsidRPr="00A11CA7">
        <w:rPr>
          <w:rFonts w:cs="Arial"/>
          <w:lang w:eastAsia="en-GB"/>
        </w:rPr>
        <w:t xml:space="preserve"> the US indicated </w:t>
      </w:r>
      <w:r w:rsidR="00CE589C" w:rsidRPr="00A11CA7">
        <w:rPr>
          <w:rFonts w:cs="Arial"/>
          <w:lang w:eastAsia="en-GB"/>
        </w:rPr>
        <w:t>that undergraduate</w:t>
      </w:r>
      <w:r w:rsidRPr="00A11CA7">
        <w:rPr>
          <w:rFonts w:cs="Arial"/>
        </w:rPr>
        <w:t xml:space="preserve"> research </w:t>
      </w:r>
      <w:r w:rsidR="00CE589C" w:rsidRPr="00A11CA7">
        <w:rPr>
          <w:rFonts w:cs="Arial"/>
        </w:rPr>
        <w:t>opportunities actually clarified</w:t>
      </w:r>
      <w:r w:rsidRPr="00A11CA7">
        <w:rPr>
          <w:rFonts w:cs="Arial"/>
        </w:rPr>
        <w:t xml:space="preserve"> students’ interest in research and encouraged students </w:t>
      </w:r>
      <w:r w:rsidR="00CE589C" w:rsidRPr="00A11CA7">
        <w:rPr>
          <w:rFonts w:cs="Arial"/>
        </w:rPr>
        <w:t>who hadn’t</w:t>
      </w:r>
      <w:r w:rsidRPr="00A11CA7">
        <w:rPr>
          <w:rFonts w:cs="Arial"/>
        </w:rPr>
        <w:t xml:space="preserve"> thought of postgraduate study to pursue it. Research also shows that work experience in the form of placements or internship helps success in gaining graduate level employment (Bennett </w:t>
      </w:r>
      <w:r w:rsidRPr="00A11CA7">
        <w:rPr>
          <w:rFonts w:cs="Arial"/>
          <w:i/>
          <w:iCs/>
        </w:rPr>
        <w:t>et al</w:t>
      </w:r>
      <w:r w:rsidRPr="00A11CA7">
        <w:rPr>
          <w:rFonts w:cs="Arial"/>
        </w:rPr>
        <w:t xml:space="preserve">., 2008; Pennington, Mosley and Sinclair, 2013; Moore, Sanders and Higham, 2013).  Overall the evidence suggests that   SUR experiences </w:t>
      </w:r>
      <w:r w:rsidR="00CE589C" w:rsidRPr="00A11CA7">
        <w:rPr>
          <w:rFonts w:cs="Arial"/>
        </w:rPr>
        <w:t>can help</w:t>
      </w:r>
      <w:r w:rsidRPr="00A11CA7">
        <w:rPr>
          <w:rFonts w:cs="Arial"/>
        </w:rPr>
        <w:t xml:space="preserve"> clarify future research/career plans but are unlikely to change the plans of many students.</w:t>
      </w:r>
    </w:p>
    <w:p w:rsidR="008D6B16" w:rsidRDefault="00CE589C" w:rsidP="00D97046">
      <w:r w:rsidRPr="00A11CA7">
        <w:rPr>
          <w:rFonts w:cs="Arial"/>
          <w:bCs/>
        </w:rPr>
        <w:t xml:space="preserve">Russel </w:t>
      </w:r>
      <w:r w:rsidR="00D30D1A" w:rsidRPr="00D30D1A">
        <w:rPr>
          <w:rFonts w:cs="Arial"/>
          <w:bCs/>
          <w:i/>
        </w:rPr>
        <w:t>et al.</w:t>
      </w:r>
      <w:r w:rsidR="00D30D1A">
        <w:rPr>
          <w:rFonts w:cs="Arial"/>
          <w:bCs/>
        </w:rPr>
        <w:t xml:space="preserve"> </w:t>
      </w:r>
      <w:r>
        <w:rPr>
          <w:rFonts w:cs="Arial"/>
          <w:bCs/>
        </w:rPr>
        <w:t>(</w:t>
      </w:r>
      <w:r w:rsidR="00A11CA7" w:rsidRPr="00A11CA7">
        <w:rPr>
          <w:rFonts w:cs="Arial"/>
          <w:bCs/>
        </w:rPr>
        <w:t>2004</w:t>
      </w:r>
      <w:r w:rsidRPr="00A11CA7">
        <w:rPr>
          <w:rFonts w:cs="Arial"/>
          <w:bCs/>
        </w:rPr>
        <w:t>) reported</w:t>
      </w:r>
      <w:r w:rsidR="00A11CA7" w:rsidRPr="00A11CA7">
        <w:rPr>
          <w:rFonts w:cs="Arial"/>
          <w:bCs/>
        </w:rPr>
        <w:t xml:space="preserve"> </w:t>
      </w:r>
      <w:r w:rsidRPr="00A11CA7">
        <w:rPr>
          <w:rFonts w:cs="Arial"/>
          <w:bCs/>
        </w:rPr>
        <w:t>that in</w:t>
      </w:r>
      <w:r w:rsidR="00A11CA7" w:rsidRPr="00A11CA7">
        <w:rPr>
          <w:rFonts w:cs="Arial"/>
        </w:rPr>
        <w:t xml:space="preserve"> </w:t>
      </w:r>
      <w:r w:rsidRPr="00A11CA7">
        <w:rPr>
          <w:rFonts w:cs="Arial"/>
        </w:rPr>
        <w:t>a survey</w:t>
      </w:r>
      <w:r w:rsidR="00A11CA7" w:rsidRPr="00A11CA7">
        <w:rPr>
          <w:rFonts w:cs="Arial"/>
        </w:rPr>
        <w:t xml:space="preserve"> of US STEM students, participation rates in undergraduate resea</w:t>
      </w:r>
      <w:r w:rsidR="00DB24D4">
        <w:rPr>
          <w:rFonts w:cs="Arial"/>
        </w:rPr>
        <w:t>r</w:t>
      </w:r>
      <w:r w:rsidR="00A11CA7" w:rsidRPr="00A11CA7">
        <w:rPr>
          <w:rFonts w:cs="Arial"/>
        </w:rPr>
        <w:t xml:space="preserve">ch </w:t>
      </w:r>
      <w:r w:rsidRPr="00A11CA7">
        <w:rPr>
          <w:rFonts w:cs="Arial"/>
        </w:rPr>
        <w:t>opportunities varied</w:t>
      </w:r>
      <w:r w:rsidR="00A11CA7" w:rsidRPr="00A11CA7">
        <w:rPr>
          <w:rFonts w:cs="Arial"/>
        </w:rPr>
        <w:t xml:space="preserve"> between disciplines </w:t>
      </w:r>
      <w:r w:rsidRPr="00A11CA7">
        <w:rPr>
          <w:rFonts w:cs="Arial"/>
        </w:rPr>
        <w:t>ranging from</w:t>
      </w:r>
      <w:r w:rsidR="00A11CA7" w:rsidRPr="00A11CA7">
        <w:rPr>
          <w:rFonts w:cs="Arial"/>
        </w:rPr>
        <w:t xml:space="preserve"> 34% in mathematics and 37% in computer sciences to 72% in chemistry. </w:t>
      </w:r>
      <w:r w:rsidR="00A11CA7" w:rsidRPr="00A11CA7">
        <w:rPr>
          <w:rFonts w:cs="Arial"/>
          <w:lang w:eastAsia="en-GB"/>
        </w:rPr>
        <w:t xml:space="preserve">John and Creighton (2011) saw </w:t>
      </w:r>
      <w:r w:rsidR="00A11CA7" w:rsidRPr="00A11CA7">
        <w:rPr>
          <w:rFonts w:cs="Arial"/>
          <w:lang w:eastAsia="en-GB"/>
        </w:rPr>
        <w:lastRenderedPageBreak/>
        <w:t xml:space="preserve">a similar variation in engagement with SUR internships with biological sciences and physical sciences (115 and 83 interns </w:t>
      </w:r>
      <w:r w:rsidRPr="00A11CA7">
        <w:rPr>
          <w:rFonts w:cs="Arial"/>
          <w:lang w:eastAsia="en-GB"/>
        </w:rPr>
        <w:t>respectively)</w:t>
      </w:r>
      <w:r w:rsidR="00A11CA7" w:rsidRPr="00A11CA7">
        <w:rPr>
          <w:rFonts w:cs="Arial"/>
          <w:lang w:eastAsia="en-GB"/>
        </w:rPr>
        <w:t xml:space="preserve"> having much greater activity </w:t>
      </w:r>
      <w:r w:rsidRPr="00A11CA7">
        <w:rPr>
          <w:rFonts w:cs="Arial"/>
          <w:lang w:eastAsia="en-GB"/>
        </w:rPr>
        <w:t>than engineering</w:t>
      </w:r>
      <w:r w:rsidR="00A11CA7" w:rsidRPr="00A11CA7">
        <w:rPr>
          <w:rFonts w:cs="Arial"/>
          <w:lang w:eastAsia="en-GB"/>
        </w:rPr>
        <w:t xml:space="preserve"> disciplines (25 interns). </w:t>
      </w:r>
      <w:r w:rsidR="00066C1E">
        <w:rPr>
          <w:rFonts w:cs="Arial"/>
          <w:lang w:eastAsia="en-GB"/>
        </w:rPr>
        <w:t xml:space="preserve">Craney </w:t>
      </w:r>
      <w:r w:rsidR="00066C1E" w:rsidRPr="00275998">
        <w:rPr>
          <w:rFonts w:cs="Arial"/>
          <w:i/>
          <w:lang w:eastAsia="en-GB"/>
        </w:rPr>
        <w:t>et al</w:t>
      </w:r>
      <w:r w:rsidR="00275998" w:rsidRPr="00275998">
        <w:rPr>
          <w:rFonts w:cs="Arial"/>
          <w:i/>
          <w:lang w:eastAsia="en-GB"/>
        </w:rPr>
        <w:t>.</w:t>
      </w:r>
      <w:r w:rsidR="00066C1E">
        <w:rPr>
          <w:rFonts w:cs="Arial"/>
          <w:lang w:eastAsia="en-GB"/>
        </w:rPr>
        <w:t xml:space="preserve"> (</w:t>
      </w:r>
      <w:r w:rsidR="00275998">
        <w:rPr>
          <w:rFonts w:cs="Arial"/>
          <w:lang w:eastAsia="en-GB"/>
        </w:rPr>
        <w:t>2011) investigated perceptions o</w:t>
      </w:r>
      <w:r w:rsidR="00066C1E">
        <w:rPr>
          <w:rFonts w:cs="Arial"/>
          <w:lang w:eastAsia="en-GB"/>
        </w:rPr>
        <w:t xml:space="preserve">f undergraduate research </w:t>
      </w:r>
      <w:r w:rsidR="002275DD">
        <w:rPr>
          <w:rFonts w:cs="Arial"/>
          <w:lang w:eastAsia="en-GB"/>
        </w:rPr>
        <w:t>experiences across the</w:t>
      </w:r>
      <w:r w:rsidR="00066C1E">
        <w:rPr>
          <w:rFonts w:cs="Arial"/>
          <w:lang w:eastAsia="en-GB"/>
        </w:rPr>
        <w:t xml:space="preserve"> sciences, humanities and social science, but not engineering. They found that the ratings of general </w:t>
      </w:r>
      <w:r w:rsidR="002275DD">
        <w:rPr>
          <w:rFonts w:cs="Arial"/>
          <w:lang w:eastAsia="en-GB"/>
        </w:rPr>
        <w:t>benefits were</w:t>
      </w:r>
      <w:r w:rsidR="00F468BA">
        <w:rPr>
          <w:rFonts w:cs="Arial"/>
          <w:lang w:eastAsia="en-GB"/>
        </w:rPr>
        <w:t xml:space="preserve"> consistent across </w:t>
      </w:r>
      <w:r w:rsidR="002275DD">
        <w:rPr>
          <w:rFonts w:cs="Arial"/>
          <w:lang w:eastAsia="en-GB"/>
        </w:rPr>
        <w:t>disciplines;</w:t>
      </w:r>
      <w:r w:rsidR="00F468BA">
        <w:rPr>
          <w:rFonts w:cs="Arial"/>
          <w:lang w:eastAsia="en-GB"/>
        </w:rPr>
        <w:t xml:space="preserve"> however some outcomes such </w:t>
      </w:r>
      <w:r w:rsidR="002275DD">
        <w:rPr>
          <w:rFonts w:cs="Arial"/>
          <w:lang w:eastAsia="en-GB"/>
        </w:rPr>
        <w:t>as gaining</w:t>
      </w:r>
      <w:r w:rsidR="00A62BD4">
        <w:rPr>
          <w:rFonts w:cs="Arial"/>
          <w:lang w:eastAsia="en-GB"/>
        </w:rPr>
        <w:t xml:space="preserve"> technical </w:t>
      </w:r>
      <w:r w:rsidR="002275DD">
        <w:rPr>
          <w:rFonts w:cs="Arial"/>
          <w:lang w:eastAsia="en-GB"/>
        </w:rPr>
        <w:t>skills and</w:t>
      </w:r>
      <w:r w:rsidR="00A62BD4">
        <w:rPr>
          <w:rFonts w:cs="Arial"/>
          <w:lang w:eastAsia="en-GB"/>
        </w:rPr>
        <w:t xml:space="preserve"> valuing the production of papers did vary across disciplines. </w:t>
      </w:r>
      <w:r w:rsidR="002275DD">
        <w:rPr>
          <w:rFonts w:cs="Arial"/>
          <w:lang w:eastAsia="en-GB"/>
        </w:rPr>
        <w:t>Stanford</w:t>
      </w:r>
      <w:r w:rsidR="00A62BD4">
        <w:rPr>
          <w:rFonts w:cs="Arial"/>
          <w:lang w:eastAsia="en-GB"/>
        </w:rPr>
        <w:t xml:space="preserve"> </w:t>
      </w:r>
      <w:r w:rsidR="00A62BD4" w:rsidRPr="00E06ECB">
        <w:rPr>
          <w:rFonts w:cs="Arial"/>
          <w:i/>
          <w:lang w:eastAsia="en-GB"/>
        </w:rPr>
        <w:t>et al</w:t>
      </w:r>
      <w:r w:rsidR="00E06ECB" w:rsidRPr="00E06ECB">
        <w:rPr>
          <w:rFonts w:cs="Arial"/>
          <w:i/>
          <w:lang w:eastAsia="en-GB"/>
        </w:rPr>
        <w:t>.</w:t>
      </w:r>
      <w:r w:rsidR="00A62BD4">
        <w:rPr>
          <w:rFonts w:cs="Arial"/>
          <w:lang w:eastAsia="en-GB"/>
        </w:rPr>
        <w:t xml:space="preserve"> (2015) found </w:t>
      </w:r>
      <w:r w:rsidR="00A62BD4">
        <w:t xml:space="preserve">very few </w:t>
      </w:r>
      <w:r w:rsidR="004B1681">
        <w:t xml:space="preserve">statistically </w:t>
      </w:r>
      <w:r w:rsidR="00A62BD4">
        <w:t xml:space="preserve">significant differences in the personal and professional gains made by </w:t>
      </w:r>
      <w:r w:rsidR="002275DD">
        <w:t>STEM research</w:t>
      </w:r>
      <w:r w:rsidR="008D6B16">
        <w:t xml:space="preserve"> interns compared to non- STEM interns.</w:t>
      </w:r>
      <w:r w:rsidR="004B1681">
        <w:t xml:space="preserve"> No comparisons </w:t>
      </w:r>
      <w:r w:rsidR="00E06ECB">
        <w:t xml:space="preserve">between science and </w:t>
      </w:r>
      <w:r w:rsidR="004B1681">
        <w:t>engineering</w:t>
      </w:r>
      <w:r w:rsidR="00E06ECB">
        <w:t xml:space="preserve"> within STE</w:t>
      </w:r>
      <w:r w:rsidR="004B1681">
        <w:t xml:space="preserve"> were reported.</w:t>
      </w:r>
    </w:p>
    <w:p w:rsidR="00A11CA7" w:rsidRPr="00A11CA7" w:rsidRDefault="00A11CA7" w:rsidP="00D97046">
      <w:pPr>
        <w:rPr>
          <w:rFonts w:cs="Arial"/>
          <w:lang w:eastAsia="en-GB"/>
        </w:rPr>
      </w:pPr>
      <w:r w:rsidRPr="00A11CA7">
        <w:rPr>
          <w:rFonts w:cs="Arial"/>
          <w:lang w:eastAsia="en-GB"/>
        </w:rPr>
        <w:t>In this paper the operation of the scheme in the Faculty of Sci</w:t>
      </w:r>
      <w:r w:rsidR="00164AD5">
        <w:rPr>
          <w:rFonts w:cs="Arial"/>
          <w:lang w:eastAsia="en-GB"/>
        </w:rPr>
        <w:t xml:space="preserve">ence Engineering and Computing </w:t>
      </w:r>
      <w:r w:rsidRPr="00A11CA7">
        <w:rPr>
          <w:rFonts w:cs="Arial"/>
          <w:lang w:eastAsia="en-GB"/>
        </w:rPr>
        <w:t>at Kingston Univ</w:t>
      </w:r>
      <w:r w:rsidR="00E06ECB">
        <w:rPr>
          <w:rFonts w:cs="Arial"/>
          <w:lang w:eastAsia="en-GB"/>
        </w:rPr>
        <w:t>ersity is described</w:t>
      </w:r>
      <w:r w:rsidRPr="00A11CA7">
        <w:rPr>
          <w:rFonts w:cs="Arial"/>
          <w:lang w:eastAsia="en-GB"/>
        </w:rPr>
        <w:t>.  Each year far greater engagement is seen from students</w:t>
      </w:r>
      <w:r w:rsidR="00164AD5">
        <w:rPr>
          <w:rFonts w:cs="Arial"/>
          <w:lang w:eastAsia="en-GB"/>
        </w:rPr>
        <w:t xml:space="preserve"> and staff </w:t>
      </w:r>
      <w:r w:rsidRPr="00A11CA7">
        <w:rPr>
          <w:rFonts w:cs="Arial"/>
          <w:lang w:eastAsia="en-GB"/>
        </w:rPr>
        <w:t xml:space="preserve">from biological and chemical science </w:t>
      </w:r>
      <w:r w:rsidRPr="00A11CA7">
        <w:rPr>
          <w:rFonts w:cs="Arial"/>
          <w:lang w:eastAsia="en-GB"/>
        </w:rPr>
        <w:lastRenderedPageBreak/>
        <w:t xml:space="preserve">disciplines compared to those from Engineering.  </w:t>
      </w:r>
      <w:r w:rsidRPr="00BD5495">
        <w:rPr>
          <w:rFonts w:cs="Arial"/>
          <w:lang w:eastAsia="en-GB"/>
        </w:rPr>
        <w:t>Previous evaluations have indicated that there are a numbe</w:t>
      </w:r>
      <w:r w:rsidR="00E06ECB">
        <w:rPr>
          <w:rFonts w:cs="Arial"/>
          <w:lang w:eastAsia="en-GB"/>
        </w:rPr>
        <w:t xml:space="preserve">r of reasons why students do not </w:t>
      </w:r>
      <w:r w:rsidR="00013473" w:rsidRPr="00BD5495">
        <w:rPr>
          <w:rFonts w:cs="Arial"/>
          <w:lang w:eastAsia="en-GB"/>
        </w:rPr>
        <w:t xml:space="preserve">apply </w:t>
      </w:r>
      <w:r w:rsidR="002275DD" w:rsidRPr="00BD5495">
        <w:rPr>
          <w:rFonts w:cs="Arial"/>
          <w:lang w:eastAsia="en-GB"/>
        </w:rPr>
        <w:t>for SUR</w:t>
      </w:r>
      <w:r w:rsidRPr="00BD5495">
        <w:rPr>
          <w:rFonts w:cs="Arial"/>
          <w:lang w:eastAsia="en-GB"/>
        </w:rPr>
        <w:t xml:space="preserve"> inte</w:t>
      </w:r>
      <w:r w:rsidR="00A710C1" w:rsidRPr="00BD5495">
        <w:rPr>
          <w:rFonts w:cs="Arial"/>
          <w:lang w:eastAsia="en-GB"/>
        </w:rPr>
        <w:t xml:space="preserve">rnships </w:t>
      </w:r>
      <w:r w:rsidR="002275DD" w:rsidRPr="00BD5495">
        <w:rPr>
          <w:rFonts w:cs="Arial"/>
          <w:lang w:eastAsia="en-GB"/>
        </w:rPr>
        <w:t>(Williams</w:t>
      </w:r>
      <w:r w:rsidR="00A710C1" w:rsidRPr="00BD5495">
        <w:rPr>
          <w:rFonts w:cs="Arial"/>
          <w:lang w:eastAsia="en-GB"/>
        </w:rPr>
        <w:t xml:space="preserve"> and </w:t>
      </w:r>
      <w:r w:rsidR="002275DD" w:rsidRPr="00BD5495">
        <w:rPr>
          <w:rFonts w:cs="Arial"/>
          <w:lang w:eastAsia="en-GB"/>
        </w:rPr>
        <w:t>Jones,</w:t>
      </w:r>
      <w:r w:rsidR="00013473" w:rsidRPr="00BD5495">
        <w:rPr>
          <w:rFonts w:cs="Arial"/>
          <w:lang w:eastAsia="en-GB"/>
        </w:rPr>
        <w:t xml:space="preserve"> 2016</w:t>
      </w:r>
      <w:r w:rsidR="00A710C1" w:rsidRPr="00BD5495">
        <w:rPr>
          <w:rFonts w:cs="Arial"/>
          <w:lang w:eastAsia="en-GB"/>
        </w:rPr>
        <w:t>).</w:t>
      </w:r>
      <w:r w:rsidRPr="00A11CA7">
        <w:rPr>
          <w:rFonts w:cs="Arial"/>
          <w:lang w:eastAsia="en-GB"/>
        </w:rPr>
        <w:t xml:space="preserve"> </w:t>
      </w:r>
    </w:p>
    <w:p w:rsidR="00A11CA7" w:rsidRPr="00A11CA7" w:rsidRDefault="002275DD" w:rsidP="00D97046">
      <w:pPr>
        <w:rPr>
          <w:rFonts w:cs="Arial"/>
        </w:rPr>
      </w:pPr>
      <w:r w:rsidRPr="00A11CA7">
        <w:rPr>
          <w:rFonts w:cs="Arial"/>
          <w:lang w:eastAsia="en-GB"/>
        </w:rPr>
        <w:t>We were interested in exploring what students at Kingston gained from internships and whether there were any differences in the experience of interns from different disciplines</w:t>
      </w:r>
      <w:r>
        <w:rPr>
          <w:rFonts w:cs="Arial"/>
          <w:lang w:eastAsia="en-GB"/>
        </w:rPr>
        <w:t>.</w:t>
      </w:r>
      <w:r w:rsidRPr="00A11CA7">
        <w:rPr>
          <w:rFonts w:cs="Arial"/>
          <w:lang w:eastAsia="en-GB"/>
        </w:rPr>
        <w:t xml:space="preserve"> </w:t>
      </w:r>
      <w:r>
        <w:rPr>
          <w:rFonts w:cs="Arial"/>
          <w:lang w:eastAsia="en-GB"/>
        </w:rPr>
        <w:t>Here we report</w:t>
      </w:r>
      <w:r w:rsidRPr="00A11CA7">
        <w:rPr>
          <w:rFonts w:cs="Arial"/>
          <w:lang w:eastAsia="en-GB"/>
        </w:rPr>
        <w:t xml:space="preserve"> the results of a survey of student</w:t>
      </w:r>
      <w:r>
        <w:rPr>
          <w:rFonts w:cs="Arial"/>
          <w:lang w:eastAsia="en-GB"/>
        </w:rPr>
        <w:t>-</w:t>
      </w:r>
      <w:r w:rsidRPr="00A11CA7">
        <w:rPr>
          <w:rFonts w:cs="Arial"/>
          <w:lang w:eastAsia="en-GB"/>
        </w:rPr>
        <w:t>perceived gains of doing an inter</w:t>
      </w:r>
      <w:r w:rsidR="00E06ECB">
        <w:rPr>
          <w:rFonts w:cs="Arial"/>
          <w:lang w:eastAsia="en-GB"/>
        </w:rPr>
        <w:t xml:space="preserve">nship in 2015; the survey was </w:t>
      </w:r>
      <w:r w:rsidRPr="00A11CA7">
        <w:rPr>
          <w:rFonts w:cs="Arial"/>
          <w:lang w:eastAsia="en-GB"/>
        </w:rPr>
        <w:t>based on the SURE s</w:t>
      </w:r>
      <w:r>
        <w:rPr>
          <w:rFonts w:cs="Arial"/>
          <w:lang w:eastAsia="en-GB"/>
        </w:rPr>
        <w:t>urvey developed by Lopatto (2007)</w:t>
      </w:r>
      <w:r w:rsidRPr="00A11CA7">
        <w:rPr>
          <w:rFonts w:cs="Arial"/>
          <w:lang w:eastAsia="en-GB"/>
        </w:rPr>
        <w:t>.</w:t>
      </w:r>
    </w:p>
    <w:p w:rsidR="00D97046" w:rsidRDefault="00D97046" w:rsidP="00D97046">
      <w:pPr>
        <w:rPr>
          <w:rStyle w:val="apple-converted-space"/>
          <w:rFonts w:cs="Arial"/>
          <w:b/>
          <w:shd w:val="clear" w:color="auto" w:fill="FFFFFF"/>
        </w:rPr>
      </w:pPr>
      <w:r w:rsidRPr="00D97046">
        <w:rPr>
          <w:rStyle w:val="apple-converted-space"/>
          <w:rFonts w:cs="Arial"/>
          <w:b/>
          <w:shd w:val="clear" w:color="auto" w:fill="FFFFFF"/>
        </w:rPr>
        <w:t>Summer Undergraduate Research Inte</w:t>
      </w:r>
      <w:r>
        <w:rPr>
          <w:rStyle w:val="apple-converted-space"/>
          <w:rFonts w:cs="Arial"/>
          <w:b/>
          <w:shd w:val="clear" w:color="auto" w:fill="FFFFFF"/>
        </w:rPr>
        <w:t>r</w:t>
      </w:r>
      <w:r w:rsidRPr="00D97046">
        <w:rPr>
          <w:rStyle w:val="apple-converted-space"/>
          <w:rFonts w:cs="Arial"/>
          <w:b/>
          <w:shd w:val="clear" w:color="auto" w:fill="FFFFFF"/>
        </w:rPr>
        <w:t>nship Scheme at Kingston</w:t>
      </w:r>
    </w:p>
    <w:p w:rsidR="00D97046" w:rsidRDefault="00D97046" w:rsidP="00D97046">
      <w:pPr>
        <w:rPr>
          <w:rFonts w:cs="Arial"/>
        </w:rPr>
      </w:pPr>
      <w:r w:rsidRPr="00D97046">
        <w:rPr>
          <w:rFonts w:cs="Arial"/>
        </w:rPr>
        <w:t xml:space="preserve">Over </w:t>
      </w:r>
      <w:r w:rsidR="002275DD" w:rsidRPr="00D97046">
        <w:rPr>
          <w:rFonts w:cs="Arial"/>
        </w:rPr>
        <w:t xml:space="preserve">forty </w:t>
      </w:r>
      <w:r w:rsidR="002275DD">
        <w:rPr>
          <w:rFonts w:cs="Arial"/>
        </w:rPr>
        <w:t>SUR</w:t>
      </w:r>
      <w:r w:rsidR="00E02E45">
        <w:rPr>
          <w:rFonts w:cs="Arial"/>
        </w:rPr>
        <w:t xml:space="preserve"> </w:t>
      </w:r>
      <w:r w:rsidRPr="00D97046">
        <w:rPr>
          <w:rFonts w:cs="Arial"/>
        </w:rPr>
        <w:t xml:space="preserve">internships within the Faculty of Science Engineering and Computing are funded each year. Each internship covers a stipend of £1200 for 8 weeks work </w:t>
      </w:r>
      <w:r w:rsidR="002275DD" w:rsidRPr="00D97046">
        <w:rPr>
          <w:rFonts w:cs="Arial"/>
        </w:rPr>
        <w:t>and £</w:t>
      </w:r>
      <w:r w:rsidRPr="00D97046">
        <w:rPr>
          <w:rFonts w:cs="Arial"/>
        </w:rPr>
        <w:t xml:space="preserve">300 for project consumables. </w:t>
      </w:r>
    </w:p>
    <w:p w:rsidR="007D2AD8" w:rsidRDefault="00D97046" w:rsidP="00D97046">
      <w:pPr>
        <w:rPr>
          <w:rFonts w:cs="Arial"/>
        </w:rPr>
        <w:sectPr w:rsidR="007D2AD8" w:rsidSect="004027C1">
          <w:type w:val="continuous"/>
          <w:pgSz w:w="11906" w:h="16838"/>
          <w:pgMar w:top="1440" w:right="1440" w:bottom="1440" w:left="1440" w:header="708" w:footer="708" w:gutter="0"/>
          <w:cols w:num="2" w:space="708"/>
          <w:docGrid w:linePitch="360"/>
        </w:sectPr>
      </w:pPr>
      <w:r w:rsidRPr="00D97046">
        <w:rPr>
          <w:rFonts w:cs="Arial"/>
        </w:rPr>
        <w:t xml:space="preserve">Academic staff are asked to submit short proposals for research projects that are realistic for undergraduate students </w:t>
      </w:r>
      <w:r w:rsidRPr="00D97046">
        <w:rPr>
          <w:rFonts w:cs="Arial"/>
        </w:rPr>
        <w:lastRenderedPageBreak/>
        <w:t xml:space="preserve">working for eight weeks. A booklet of potential projects (100 in 2015) is circulated to all second year students and also third year students on four-year courses. </w:t>
      </w:r>
      <w:r w:rsidRPr="00D97046">
        <w:rPr>
          <w:rFonts w:cs="Arial"/>
          <w:bCs/>
          <w:shd w:val="clear" w:color="auto" w:fill="FFFFFF"/>
        </w:rPr>
        <w:t>The internships were also advertised on the University student job site</w:t>
      </w:r>
      <w:r w:rsidRPr="00D97046">
        <w:rPr>
          <w:bCs/>
          <w:shd w:val="clear" w:color="auto" w:fill="FFFFFF"/>
        </w:rPr>
        <w:t xml:space="preserve">. </w:t>
      </w:r>
      <w:r w:rsidRPr="00D97046">
        <w:rPr>
          <w:rFonts w:cs="Arial"/>
        </w:rPr>
        <w:t>A condition of doing an internship is that the interns must write a weekly blog on their experience of doing an internship.  When advertising the internship scheme, potential interns are encouraged to read</w:t>
      </w:r>
      <w:r w:rsidR="00E06ECB">
        <w:rPr>
          <w:rFonts w:cs="Arial"/>
        </w:rPr>
        <w:t xml:space="preserve"> the blogs written by previous i</w:t>
      </w:r>
      <w:r w:rsidRPr="00D97046">
        <w:rPr>
          <w:rFonts w:cs="Arial"/>
        </w:rPr>
        <w:t>nterns to get a feel for what an internship involves and to see the positive experiences of the vast majority of interns. To apply</w:t>
      </w:r>
      <w:r w:rsidR="00E06ECB">
        <w:rPr>
          <w:rFonts w:cs="Arial"/>
        </w:rPr>
        <w:t>,</w:t>
      </w:r>
      <w:r w:rsidRPr="00D97046">
        <w:rPr>
          <w:rFonts w:cs="Arial"/>
        </w:rPr>
        <w:t xml:space="preserve"> students are </w:t>
      </w:r>
      <w:r w:rsidRPr="00D97046">
        <w:rPr>
          <w:rFonts w:cs="Arial"/>
        </w:rPr>
        <w:lastRenderedPageBreak/>
        <w:t xml:space="preserve">asked to submit a cover letter and </w:t>
      </w:r>
      <w:r w:rsidR="002275DD" w:rsidRPr="00D97046">
        <w:rPr>
          <w:rFonts w:cs="Arial"/>
        </w:rPr>
        <w:t>CV</w:t>
      </w:r>
      <w:r w:rsidRPr="00D97046">
        <w:rPr>
          <w:rFonts w:cs="Arial"/>
        </w:rPr>
        <w:t xml:space="preserve"> and list up to four choices in rank order</w:t>
      </w:r>
      <w:r w:rsidR="00E06ECB">
        <w:rPr>
          <w:rFonts w:cs="Arial"/>
        </w:rPr>
        <w:t>. The selection of internship p</w:t>
      </w:r>
      <w:r w:rsidRPr="00D97046">
        <w:rPr>
          <w:rFonts w:cs="Arial"/>
        </w:rPr>
        <w:t>rojects to be funded for each department in the faculty is dependent on number and quality of student applications.   Around five students are shortlisted for each project and their applications are sent to the project supervisors. Supervisors then interview all shortl</w:t>
      </w:r>
      <w:r w:rsidR="00E06ECB">
        <w:rPr>
          <w:rFonts w:cs="Arial"/>
        </w:rPr>
        <w:t>isted candidates and report their</w:t>
      </w:r>
      <w:r w:rsidRPr="00D97046">
        <w:rPr>
          <w:rFonts w:cs="Arial"/>
        </w:rPr>
        <w:t xml:space="preserve"> ranked choices. Each student gets feedback from the supervisor on their interview performance. Students can be interviewed for more than one project. The </w:t>
      </w:r>
    </w:p>
    <w:p w:rsidR="00164AD5" w:rsidRDefault="007D2AD8" w:rsidP="00D97046">
      <w:pPr>
        <w:rPr>
          <w:rFonts w:cs="Arial"/>
        </w:rPr>
      </w:pPr>
      <w:r>
        <w:rPr>
          <w:noProof/>
          <w:lang w:eastAsia="en-GB"/>
        </w:rPr>
        <w:lastRenderedPageBreak/>
        <w:drawing>
          <wp:inline distT="0" distB="0" distL="0" distR="0" wp14:anchorId="09DCA94A" wp14:editId="715740D0">
            <wp:extent cx="5153891" cy="3063834"/>
            <wp:effectExtent l="0" t="0" r="8890" b="38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D2AD8" w:rsidRPr="002275DD" w:rsidRDefault="007D2AD8" w:rsidP="007D2AD8">
      <w:pPr>
        <w:rPr>
          <w:rFonts w:cs="Arial"/>
        </w:rPr>
      </w:pPr>
      <w:r w:rsidRPr="002275DD">
        <w:rPr>
          <w:b/>
          <w:noProof/>
          <w:lang w:eastAsia="en-GB"/>
        </w:rPr>
        <w:t>Figure 1.</w:t>
      </w:r>
      <w:r w:rsidRPr="002275DD">
        <w:rPr>
          <w:noProof/>
          <w:lang w:eastAsia="en-GB"/>
        </w:rPr>
        <w:t xml:space="preserve"> Projects, application and awarded internships by department 2016</w:t>
      </w:r>
    </w:p>
    <w:p w:rsidR="007D2AD8" w:rsidRDefault="007D2AD8" w:rsidP="00D97046">
      <w:pPr>
        <w:rPr>
          <w:rFonts w:cs="Arial"/>
        </w:rPr>
        <w:sectPr w:rsidR="007D2AD8" w:rsidSect="007D2AD8">
          <w:type w:val="continuous"/>
          <w:pgSz w:w="11906" w:h="16838"/>
          <w:pgMar w:top="1440" w:right="1440" w:bottom="1440" w:left="1440" w:header="708" w:footer="708" w:gutter="0"/>
          <w:cols w:space="708"/>
          <w:docGrid w:linePitch="360"/>
        </w:sectPr>
      </w:pPr>
    </w:p>
    <w:p w:rsidR="00B915E3" w:rsidRDefault="00B915E3" w:rsidP="00B915E3">
      <w:pPr>
        <w:jc w:val="center"/>
        <w:rPr>
          <w:noProof/>
          <w:sz w:val="20"/>
          <w:szCs w:val="20"/>
          <w:lang w:eastAsia="en-GB"/>
        </w:rPr>
      </w:pPr>
    </w:p>
    <w:p w:rsidR="00164AD5" w:rsidRDefault="00164AD5" w:rsidP="00164AD5">
      <w:pPr>
        <w:jc w:val="center"/>
        <w:rPr>
          <w:rFonts w:cs="Arial"/>
        </w:rPr>
      </w:pPr>
      <w:r>
        <w:rPr>
          <w:noProof/>
          <w:lang w:eastAsia="en-GB"/>
        </w:rPr>
        <w:drawing>
          <wp:inline distT="0" distB="0" distL="0" distR="0">
            <wp:extent cx="4862286" cy="2786743"/>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64AD5" w:rsidRPr="002275DD" w:rsidRDefault="00164AD5" w:rsidP="00D97046">
      <w:pPr>
        <w:rPr>
          <w:noProof/>
          <w:lang w:eastAsia="en-GB"/>
        </w:rPr>
      </w:pPr>
      <w:r w:rsidRPr="002275DD">
        <w:rPr>
          <w:b/>
          <w:noProof/>
          <w:lang w:eastAsia="en-GB"/>
        </w:rPr>
        <w:t>Figure 2</w:t>
      </w:r>
      <w:r w:rsidRPr="002275DD">
        <w:rPr>
          <w:noProof/>
          <w:lang w:eastAsia="en-GB"/>
        </w:rPr>
        <w:t>.</w:t>
      </w:r>
      <w:r w:rsidR="002275DD" w:rsidRPr="002275DD">
        <w:rPr>
          <w:noProof/>
          <w:lang w:eastAsia="en-GB"/>
        </w:rPr>
        <w:t xml:space="preserve"> P</w:t>
      </w:r>
      <w:r w:rsidRPr="002275DD">
        <w:rPr>
          <w:noProof/>
          <w:lang w:eastAsia="en-GB"/>
        </w:rPr>
        <w:t xml:space="preserve">rojects, application and awarded internships by department </w:t>
      </w:r>
      <w:r w:rsidR="002275DD" w:rsidRPr="002275DD">
        <w:rPr>
          <w:noProof/>
          <w:lang w:eastAsia="en-GB"/>
        </w:rPr>
        <w:t xml:space="preserve">in </w:t>
      </w:r>
      <w:r w:rsidRPr="002275DD">
        <w:rPr>
          <w:noProof/>
          <w:lang w:eastAsia="en-GB"/>
        </w:rPr>
        <w:t>2015</w:t>
      </w:r>
    </w:p>
    <w:p w:rsidR="00B915E3" w:rsidRDefault="00B915E3" w:rsidP="00D97046">
      <w:pPr>
        <w:rPr>
          <w:rFonts w:cs="Arial"/>
        </w:rPr>
        <w:sectPr w:rsidR="00B915E3" w:rsidSect="00164AD5">
          <w:pgSz w:w="11906" w:h="16838"/>
          <w:pgMar w:top="1440" w:right="1440" w:bottom="1440" w:left="1440" w:header="708" w:footer="708" w:gutter="0"/>
          <w:cols w:space="708"/>
          <w:docGrid w:linePitch="360"/>
        </w:sectPr>
      </w:pPr>
    </w:p>
    <w:p w:rsidR="00D97046" w:rsidRPr="00D97046" w:rsidRDefault="00D97046" w:rsidP="00D97046">
      <w:pPr>
        <w:rPr>
          <w:rFonts w:cs="Arial"/>
        </w:rPr>
      </w:pPr>
      <w:r w:rsidRPr="00D97046">
        <w:rPr>
          <w:rFonts w:cs="Arial"/>
        </w:rPr>
        <w:lastRenderedPageBreak/>
        <w:t>Faculty co-ordinator then allocates students to the internship positions based on student and staff ranked choices.</w:t>
      </w:r>
    </w:p>
    <w:p w:rsidR="00D97046" w:rsidRPr="00250207" w:rsidRDefault="00D97046" w:rsidP="00D97046">
      <w:pPr>
        <w:ind w:firstLine="284"/>
        <w:rPr>
          <w:rStyle w:val="apple-converted-space"/>
          <w:rFonts w:cs="Arial"/>
          <w:shd w:val="clear" w:color="auto" w:fill="FFFFFF"/>
        </w:rPr>
      </w:pPr>
      <w:r w:rsidRPr="00250207">
        <w:rPr>
          <w:rStyle w:val="apple-converted-space"/>
          <w:rFonts w:cs="Arial"/>
          <w:shd w:val="clear" w:color="auto" w:fill="FFFFFF"/>
        </w:rPr>
        <w:t xml:space="preserve">In 2016 there were 190 applicants </w:t>
      </w:r>
      <w:r w:rsidR="00E06ECB">
        <w:rPr>
          <w:rStyle w:val="apple-converted-space"/>
          <w:rFonts w:cs="Arial"/>
          <w:shd w:val="clear" w:color="auto" w:fill="FFFFFF"/>
        </w:rPr>
        <w:t xml:space="preserve">and 45 internships were awarded, </w:t>
      </w:r>
      <w:r w:rsidR="002275DD" w:rsidRPr="00250207">
        <w:rPr>
          <w:rStyle w:val="apple-converted-space"/>
          <w:rFonts w:cs="Arial"/>
          <w:shd w:val="clear" w:color="auto" w:fill="FFFFFF"/>
        </w:rPr>
        <w:t>Figure</w:t>
      </w:r>
      <w:r w:rsidRPr="00250207">
        <w:rPr>
          <w:rStyle w:val="apple-converted-space"/>
          <w:rFonts w:cs="Arial"/>
          <w:shd w:val="clear" w:color="auto" w:fill="FFFFFF"/>
        </w:rPr>
        <w:t xml:space="preserve"> 1. This was an increase on the number of application in 2015</w:t>
      </w:r>
      <w:r>
        <w:rPr>
          <w:rStyle w:val="apple-converted-space"/>
          <w:rFonts w:cs="Arial"/>
          <w:shd w:val="clear" w:color="auto" w:fill="FFFFFF"/>
        </w:rPr>
        <w:t>,</w:t>
      </w:r>
      <w:r w:rsidRPr="00250207">
        <w:rPr>
          <w:rStyle w:val="apple-converted-space"/>
          <w:rFonts w:cs="Arial"/>
          <w:shd w:val="clear" w:color="auto" w:fill="FFFFFF"/>
        </w:rPr>
        <w:t xml:space="preserve"> Figure 2</w:t>
      </w:r>
      <w:r>
        <w:rPr>
          <w:rStyle w:val="apple-converted-space"/>
          <w:rFonts w:cs="Arial"/>
          <w:shd w:val="clear" w:color="auto" w:fill="FFFFFF"/>
        </w:rPr>
        <w:t>.</w:t>
      </w:r>
      <w:r w:rsidRPr="00250207">
        <w:rPr>
          <w:rStyle w:val="apple-converted-space"/>
          <w:rFonts w:cs="Arial"/>
          <w:shd w:val="clear" w:color="auto" w:fill="FFFFFF"/>
        </w:rPr>
        <w:t xml:space="preserve">  There is considerable variation between subjects area. In </w:t>
      </w:r>
      <w:r>
        <w:rPr>
          <w:rStyle w:val="apple-converted-space"/>
          <w:rFonts w:cs="Arial"/>
          <w:shd w:val="clear" w:color="auto" w:fill="FFFFFF"/>
        </w:rPr>
        <w:t>bo</w:t>
      </w:r>
      <w:r w:rsidRPr="00250207">
        <w:rPr>
          <w:rStyle w:val="apple-converted-space"/>
          <w:rFonts w:cs="Arial"/>
          <w:shd w:val="clear" w:color="auto" w:fill="FFFFFF"/>
        </w:rPr>
        <w:t>th years the schools of Pharmacy and Chemistry and Life</w:t>
      </w:r>
      <w:r>
        <w:rPr>
          <w:rStyle w:val="apple-converted-space"/>
          <w:rFonts w:cs="Arial"/>
          <w:shd w:val="clear" w:color="auto" w:fill="FFFFFF"/>
        </w:rPr>
        <w:t xml:space="preserve"> </w:t>
      </w:r>
      <w:r w:rsidRPr="00250207">
        <w:rPr>
          <w:rStyle w:val="apple-converted-space"/>
          <w:rFonts w:cs="Arial"/>
          <w:shd w:val="clear" w:color="auto" w:fill="FFFFFF"/>
        </w:rPr>
        <w:t>Science had by far the greatest number of applications. There is also varying en</w:t>
      </w:r>
      <w:r>
        <w:rPr>
          <w:rStyle w:val="apple-converted-space"/>
          <w:rFonts w:cs="Arial"/>
          <w:shd w:val="clear" w:color="auto" w:fill="FFFFFF"/>
        </w:rPr>
        <w:t>gagem</w:t>
      </w:r>
      <w:r w:rsidRPr="00250207">
        <w:rPr>
          <w:rStyle w:val="apple-converted-space"/>
          <w:rFonts w:cs="Arial"/>
          <w:shd w:val="clear" w:color="auto" w:fill="FFFFFF"/>
        </w:rPr>
        <w:t>ent of staff from different schools as the nu</w:t>
      </w:r>
      <w:r>
        <w:rPr>
          <w:rStyle w:val="apple-converted-space"/>
          <w:rFonts w:cs="Arial"/>
          <w:shd w:val="clear" w:color="auto" w:fill="FFFFFF"/>
        </w:rPr>
        <w:t>mber of projects offered differ</w:t>
      </w:r>
      <w:r w:rsidRPr="00250207">
        <w:rPr>
          <w:rStyle w:val="apple-converted-space"/>
          <w:rFonts w:cs="Arial"/>
          <w:shd w:val="clear" w:color="auto" w:fill="FFFFFF"/>
        </w:rPr>
        <w:t xml:space="preserve">s considerably between </w:t>
      </w:r>
      <w:r w:rsidR="002275DD" w:rsidRPr="00250207">
        <w:rPr>
          <w:rStyle w:val="apple-converted-space"/>
          <w:rFonts w:cs="Arial"/>
          <w:shd w:val="clear" w:color="auto" w:fill="FFFFFF"/>
        </w:rPr>
        <w:t>departments</w:t>
      </w:r>
      <w:r w:rsidRPr="00250207">
        <w:rPr>
          <w:rStyle w:val="apple-converted-space"/>
          <w:rFonts w:cs="Arial"/>
          <w:shd w:val="clear" w:color="auto" w:fill="FFFFFF"/>
        </w:rPr>
        <w:t xml:space="preserve"> and </w:t>
      </w:r>
      <w:r w:rsidRPr="00250207">
        <w:rPr>
          <w:rStyle w:val="apple-converted-space"/>
          <w:rFonts w:cs="Arial"/>
          <w:shd w:val="clear" w:color="auto" w:fill="FFFFFF"/>
        </w:rPr>
        <w:lastRenderedPageBreak/>
        <w:t>also between ye</w:t>
      </w:r>
      <w:r w:rsidR="00E06ECB">
        <w:rPr>
          <w:rStyle w:val="apple-converted-space"/>
          <w:rFonts w:cs="Arial"/>
          <w:shd w:val="clear" w:color="auto" w:fill="FFFFFF"/>
        </w:rPr>
        <w:t xml:space="preserve">ars. There is no obvious </w:t>
      </w:r>
      <w:r w:rsidRPr="00250207">
        <w:rPr>
          <w:rStyle w:val="apple-converted-space"/>
          <w:rFonts w:cs="Arial"/>
          <w:shd w:val="clear" w:color="auto" w:fill="FFFFFF"/>
        </w:rPr>
        <w:t>correlation between number of project offered</w:t>
      </w:r>
      <w:r w:rsidR="00E06ECB">
        <w:rPr>
          <w:rStyle w:val="apple-converted-space"/>
          <w:rFonts w:cs="Arial"/>
          <w:shd w:val="clear" w:color="auto" w:fill="FFFFFF"/>
        </w:rPr>
        <w:t xml:space="preserve"> and the number of applications;</w:t>
      </w:r>
      <w:r w:rsidRPr="00250207">
        <w:rPr>
          <w:rStyle w:val="apple-converted-space"/>
          <w:rFonts w:cs="Arial"/>
          <w:shd w:val="clear" w:color="auto" w:fill="FFFFFF"/>
        </w:rPr>
        <w:t xml:space="preserve"> for  example in 2015</w:t>
      </w:r>
      <w:r w:rsidR="00E06ECB">
        <w:rPr>
          <w:rStyle w:val="apple-converted-space"/>
          <w:rFonts w:cs="Arial"/>
          <w:shd w:val="clear" w:color="auto" w:fill="FFFFFF"/>
        </w:rPr>
        <w:t>,  there were 21 m</w:t>
      </w:r>
      <w:r w:rsidRPr="00250207">
        <w:rPr>
          <w:rStyle w:val="apple-converted-space"/>
          <w:rFonts w:cs="Arial"/>
          <w:shd w:val="clear" w:color="auto" w:fill="FFFFFF"/>
        </w:rPr>
        <w:t>echanical engineering projects to choose from</w:t>
      </w:r>
      <w:r w:rsidR="00E06ECB">
        <w:rPr>
          <w:rStyle w:val="apple-converted-space"/>
          <w:rFonts w:cs="Arial"/>
          <w:shd w:val="clear" w:color="auto" w:fill="FFFFFF"/>
        </w:rPr>
        <w:t>,</w:t>
      </w:r>
      <w:r w:rsidRPr="00250207">
        <w:rPr>
          <w:rStyle w:val="apple-converted-space"/>
          <w:rFonts w:cs="Arial"/>
          <w:shd w:val="clear" w:color="auto" w:fill="FFFFFF"/>
        </w:rPr>
        <w:t xml:space="preserve"> but only 4 students applied,</w:t>
      </w:r>
      <w:r>
        <w:rPr>
          <w:rStyle w:val="apple-converted-space"/>
          <w:rFonts w:cs="Arial"/>
          <w:shd w:val="clear" w:color="auto" w:fill="FFFFFF"/>
        </w:rPr>
        <w:t xml:space="preserve"> compared to in Phar</w:t>
      </w:r>
      <w:r w:rsidRPr="00250207">
        <w:rPr>
          <w:rStyle w:val="apple-converted-space"/>
          <w:rFonts w:cs="Arial"/>
          <w:shd w:val="clear" w:color="auto" w:fill="FFFFFF"/>
        </w:rPr>
        <w:t>m</w:t>
      </w:r>
      <w:r>
        <w:rPr>
          <w:rStyle w:val="apple-converted-space"/>
          <w:rFonts w:cs="Arial"/>
          <w:shd w:val="clear" w:color="auto" w:fill="FFFFFF"/>
        </w:rPr>
        <w:t>a</w:t>
      </w:r>
      <w:r w:rsidRPr="00250207">
        <w:rPr>
          <w:rStyle w:val="apple-converted-space"/>
          <w:rFonts w:cs="Arial"/>
          <w:shd w:val="clear" w:color="auto" w:fill="FFFFFF"/>
        </w:rPr>
        <w:t xml:space="preserve">cy and Chemistry where 11 projects were offered but 48 students applied. </w:t>
      </w:r>
      <w:r w:rsidR="00E06ECB">
        <w:rPr>
          <w:rStyle w:val="apple-converted-space"/>
          <w:rFonts w:cs="Arial"/>
          <w:shd w:val="clear" w:color="auto" w:fill="FFFFFF"/>
        </w:rPr>
        <w:t xml:space="preserve"> The </w:t>
      </w:r>
      <w:proofErr w:type="gramStart"/>
      <w:r w:rsidR="00E06ECB">
        <w:rPr>
          <w:rStyle w:val="apple-converted-space"/>
          <w:rFonts w:cs="Arial"/>
          <w:shd w:val="clear" w:color="auto" w:fill="FFFFFF"/>
        </w:rPr>
        <w:t>number of a</w:t>
      </w:r>
      <w:r w:rsidRPr="00250207">
        <w:rPr>
          <w:rStyle w:val="apple-converted-space"/>
          <w:rFonts w:cs="Arial"/>
          <w:shd w:val="clear" w:color="auto" w:fill="FFFFFF"/>
        </w:rPr>
        <w:t xml:space="preserve">pplications </w:t>
      </w:r>
      <w:r w:rsidR="00E06ECB">
        <w:rPr>
          <w:rStyle w:val="apple-converted-space"/>
          <w:rFonts w:cs="Arial"/>
          <w:shd w:val="clear" w:color="auto" w:fill="FFFFFF"/>
        </w:rPr>
        <w:t>in a subject area appear</w:t>
      </w:r>
      <w:proofErr w:type="gramEnd"/>
      <w:r w:rsidR="00E06ECB">
        <w:rPr>
          <w:rStyle w:val="apple-converted-space"/>
          <w:rFonts w:cs="Arial"/>
          <w:shd w:val="clear" w:color="auto" w:fill="FFFFFF"/>
        </w:rPr>
        <w:t xml:space="preserve"> to depend</w:t>
      </w:r>
      <w:r w:rsidRPr="00250207">
        <w:rPr>
          <w:rStyle w:val="apple-converted-space"/>
          <w:rFonts w:cs="Arial"/>
          <w:shd w:val="clear" w:color="auto" w:fill="FFFFFF"/>
        </w:rPr>
        <w:t xml:space="preserve"> on the type of projects being offered and also how well they are promoted by academics in the School. There is also evidence from the literature </w:t>
      </w:r>
      <w:r w:rsidRPr="00250207">
        <w:rPr>
          <w:rStyle w:val="apple-converted-space"/>
          <w:rFonts w:cs="Arial"/>
          <w:shd w:val="clear" w:color="auto" w:fill="FFFFFF"/>
        </w:rPr>
        <w:lastRenderedPageBreak/>
        <w:t>that internships are less common in engineering (</w:t>
      </w:r>
      <w:r w:rsidRPr="00250207">
        <w:rPr>
          <w:rFonts w:cs="Arial"/>
          <w:lang w:eastAsia="en-GB"/>
        </w:rPr>
        <w:t>John and Creighton, 2011)</w:t>
      </w:r>
      <w:r w:rsidR="00E06ECB">
        <w:rPr>
          <w:rFonts w:cs="Arial"/>
          <w:lang w:eastAsia="en-GB"/>
        </w:rPr>
        <w:t>.</w:t>
      </w:r>
      <w:r w:rsidRPr="00250207">
        <w:rPr>
          <w:rFonts w:cs="Arial"/>
          <w:lang w:eastAsia="en-GB"/>
        </w:rPr>
        <w:t xml:space="preserve">  </w:t>
      </w:r>
    </w:p>
    <w:p w:rsidR="00D97046" w:rsidRPr="00250207" w:rsidRDefault="00D97046" w:rsidP="00D97046">
      <w:pPr>
        <w:rPr>
          <w:rStyle w:val="apple-converted-space"/>
          <w:rFonts w:cs="Arial"/>
          <w:b/>
          <w:color w:val="000000"/>
          <w:shd w:val="clear" w:color="auto" w:fill="FFFFFF"/>
        </w:rPr>
      </w:pPr>
      <w:r w:rsidRPr="00250207">
        <w:rPr>
          <w:rStyle w:val="apple-converted-space"/>
          <w:rFonts w:cs="Arial"/>
          <w:b/>
          <w:color w:val="000000"/>
          <w:shd w:val="clear" w:color="auto" w:fill="FFFFFF"/>
        </w:rPr>
        <w:t>Measuring student perceived learning gains from doing an internship</w:t>
      </w:r>
    </w:p>
    <w:p w:rsidR="00D97046" w:rsidRPr="00250207" w:rsidRDefault="00D97046" w:rsidP="00D97046">
      <w:pPr>
        <w:rPr>
          <w:rFonts w:cs="Arial"/>
        </w:rPr>
      </w:pPr>
      <w:r w:rsidRPr="00250207">
        <w:rPr>
          <w:rStyle w:val="apple-converted-space"/>
          <w:rFonts w:cs="Arial"/>
          <w:color w:val="000000"/>
          <w:shd w:val="clear" w:color="auto" w:fill="FFFFFF"/>
        </w:rPr>
        <w:t>An analysis of the stude</w:t>
      </w:r>
      <w:r w:rsidR="00562CD1">
        <w:rPr>
          <w:rStyle w:val="apple-converted-space"/>
          <w:rFonts w:cs="Arial"/>
          <w:color w:val="000000"/>
          <w:shd w:val="clear" w:color="auto" w:fill="FFFFFF"/>
        </w:rPr>
        <w:t xml:space="preserve">nt intern blogs has previously </w:t>
      </w:r>
      <w:r w:rsidRPr="00250207">
        <w:rPr>
          <w:rStyle w:val="apple-converted-space"/>
          <w:rFonts w:cs="Arial"/>
          <w:color w:val="000000"/>
          <w:shd w:val="clear" w:color="auto" w:fill="FFFFFF"/>
        </w:rPr>
        <w:t xml:space="preserve">revealed that students from different disciplines identified different gains from doing their internship (Williams and Jones, 2016). A number of studies have sought to measure </w:t>
      </w:r>
      <w:r w:rsidR="00DB24D4">
        <w:rPr>
          <w:rStyle w:val="apple-converted-space"/>
          <w:rFonts w:cs="Arial"/>
          <w:color w:val="000000"/>
          <w:shd w:val="clear" w:color="auto" w:fill="FFFFFF"/>
        </w:rPr>
        <w:t xml:space="preserve">learning </w:t>
      </w:r>
      <w:r w:rsidRPr="00250207">
        <w:rPr>
          <w:rStyle w:val="apple-converted-space"/>
          <w:rFonts w:cs="Arial"/>
          <w:color w:val="000000"/>
          <w:shd w:val="clear" w:color="auto" w:fill="FFFFFF"/>
        </w:rPr>
        <w:t xml:space="preserve">gains from an undergraduate research experience. </w:t>
      </w:r>
      <w:r w:rsidRPr="00250207">
        <w:rPr>
          <w:rFonts w:cs="Arial"/>
        </w:rPr>
        <w:t>Kardash (2000), asked students to rate a range of  their own research skill</w:t>
      </w:r>
      <w:r w:rsidR="00E06ECB">
        <w:rPr>
          <w:rFonts w:cs="Arial"/>
        </w:rPr>
        <w:t>s</w:t>
      </w:r>
      <w:r w:rsidRPr="00250207">
        <w:rPr>
          <w:rFonts w:cs="Arial"/>
        </w:rPr>
        <w:t xml:space="preserve"> before and  after  doing a 12 hr a week undergraduate research ex</w:t>
      </w:r>
      <w:r w:rsidR="00E06ECB">
        <w:rPr>
          <w:rFonts w:cs="Arial"/>
        </w:rPr>
        <w:t>perience for an academic year (</w:t>
      </w:r>
      <w:r w:rsidRPr="00250207">
        <w:rPr>
          <w:rFonts w:cs="Arial"/>
        </w:rPr>
        <w:t xml:space="preserve">32 weeks) or a summer internship of 40 hours a week for 8 weeks. Gains in a variety of research skills were reported.  Others have designed and used learning gain surveys to evaluate the student perceived benefits of Undergraduate Research experiences. </w:t>
      </w:r>
      <w:r w:rsidR="002275DD" w:rsidRPr="00250207">
        <w:rPr>
          <w:rFonts w:cs="Arial"/>
        </w:rPr>
        <w:t>These include the extensive Undergraduate Research Student Self-Assessment (URSSA)</w:t>
      </w:r>
      <w:r w:rsidR="002275DD">
        <w:rPr>
          <w:rFonts w:cs="Arial"/>
        </w:rPr>
        <w:t>,</w:t>
      </w:r>
      <w:r w:rsidR="002275DD" w:rsidRPr="00250207">
        <w:rPr>
          <w:rFonts w:cs="Arial"/>
        </w:rPr>
        <w:t xml:space="preserve"> </w:t>
      </w:r>
      <w:r w:rsidR="002275DD">
        <w:rPr>
          <w:rFonts w:cs="Arial"/>
        </w:rPr>
        <w:t>Hunter et al (2007) and</w:t>
      </w:r>
      <w:r w:rsidR="002275DD" w:rsidRPr="00250207">
        <w:rPr>
          <w:rFonts w:cs="Arial"/>
        </w:rPr>
        <w:t xml:space="preserve"> Thiry et al </w:t>
      </w:r>
      <w:r w:rsidR="002275DD">
        <w:rPr>
          <w:rFonts w:cs="Arial"/>
        </w:rPr>
        <w:t>(</w:t>
      </w:r>
      <w:r w:rsidR="002275DD" w:rsidRPr="00250207">
        <w:rPr>
          <w:rFonts w:cs="Arial"/>
        </w:rPr>
        <w:t>2012) an</w:t>
      </w:r>
      <w:r w:rsidR="002275DD">
        <w:rPr>
          <w:rFonts w:cs="Arial"/>
        </w:rPr>
        <w:t xml:space="preserve">d </w:t>
      </w:r>
      <w:r w:rsidR="002275DD" w:rsidRPr="00250207">
        <w:rPr>
          <w:rFonts w:cs="Arial"/>
        </w:rPr>
        <w:t>modifications (John and Creighton</w:t>
      </w:r>
      <w:r w:rsidR="002275DD">
        <w:rPr>
          <w:rFonts w:cs="Arial"/>
        </w:rPr>
        <w:t xml:space="preserve">, </w:t>
      </w:r>
      <w:r w:rsidR="002275DD">
        <w:rPr>
          <w:rFonts w:cs="Arial"/>
        </w:rPr>
        <w:lastRenderedPageBreak/>
        <w:t>2011)</w:t>
      </w:r>
      <w:r w:rsidR="002275DD" w:rsidRPr="00250207">
        <w:rPr>
          <w:rFonts w:cs="Arial"/>
        </w:rPr>
        <w:t xml:space="preserve"> and the shorter Survey of Undergraduate Research E</w:t>
      </w:r>
      <w:r w:rsidR="002275DD">
        <w:rPr>
          <w:rFonts w:cs="Arial"/>
        </w:rPr>
        <w:t>xperience (SURE) (Lopatto 2007</w:t>
      </w:r>
      <w:r w:rsidR="002275DD" w:rsidRPr="00250207">
        <w:rPr>
          <w:rFonts w:cs="Arial"/>
        </w:rPr>
        <w:t xml:space="preserve">). </w:t>
      </w:r>
    </w:p>
    <w:p w:rsidR="00D97046" w:rsidRPr="00D97046" w:rsidRDefault="00D97046" w:rsidP="00D97046">
      <w:pPr>
        <w:rPr>
          <w:rFonts w:cs="Arial"/>
          <w:b/>
        </w:rPr>
      </w:pPr>
      <w:r w:rsidRPr="00D97046">
        <w:rPr>
          <w:rFonts w:cs="Arial"/>
          <w:b/>
        </w:rPr>
        <w:t>Data collection</w:t>
      </w:r>
    </w:p>
    <w:p w:rsidR="004B40C6" w:rsidRDefault="004B40C6" w:rsidP="004B40C6">
      <w:pPr>
        <w:rPr>
          <w:rFonts w:cs="Arial"/>
        </w:rPr>
      </w:pPr>
      <w:r w:rsidRPr="00250207">
        <w:rPr>
          <w:rFonts w:cs="Arial"/>
        </w:rPr>
        <w:t>To evaluate the scheme at Kin</w:t>
      </w:r>
      <w:r w:rsidR="00562CD1">
        <w:rPr>
          <w:rFonts w:cs="Arial"/>
        </w:rPr>
        <w:t xml:space="preserve">gston a survey of 14 questions </w:t>
      </w:r>
      <w:r w:rsidRPr="00250207">
        <w:rPr>
          <w:rFonts w:cs="Arial"/>
        </w:rPr>
        <w:t>derived from SURE</w:t>
      </w:r>
      <w:r w:rsidR="000F0D6B">
        <w:rPr>
          <w:rFonts w:cs="Arial"/>
        </w:rPr>
        <w:t xml:space="preserve"> </w:t>
      </w:r>
      <w:r w:rsidR="002275DD">
        <w:rPr>
          <w:rFonts w:cs="Arial"/>
        </w:rPr>
        <w:t>(Lopatto</w:t>
      </w:r>
      <w:r w:rsidR="000F0D6B">
        <w:rPr>
          <w:rFonts w:cs="Arial"/>
        </w:rPr>
        <w:t xml:space="preserve">, </w:t>
      </w:r>
      <w:r w:rsidR="00D614A3">
        <w:rPr>
          <w:rFonts w:cs="Arial"/>
        </w:rPr>
        <w:t>2007</w:t>
      </w:r>
      <w:r w:rsidR="000F0D6B">
        <w:rPr>
          <w:rFonts w:cs="Arial"/>
        </w:rPr>
        <w:t>)</w:t>
      </w:r>
      <w:r w:rsidRPr="00250207">
        <w:rPr>
          <w:rFonts w:cs="Arial"/>
        </w:rPr>
        <w:t xml:space="preserve"> was produced. The questions asked students to rate their perceived gain for a</w:t>
      </w:r>
      <w:r w:rsidR="00CA2EC6">
        <w:rPr>
          <w:rFonts w:cs="Arial"/>
        </w:rPr>
        <w:t xml:space="preserve"> range of skills on a scale of 1</w:t>
      </w:r>
      <w:r w:rsidRPr="00250207">
        <w:rPr>
          <w:rFonts w:cs="Arial"/>
        </w:rPr>
        <w:t xml:space="preserve"> (no gain</w:t>
      </w:r>
      <w:r w:rsidR="00BB7C68">
        <w:rPr>
          <w:rFonts w:cs="Arial"/>
        </w:rPr>
        <w:t>/not applicable</w:t>
      </w:r>
      <w:r w:rsidRPr="00250207">
        <w:rPr>
          <w:rFonts w:cs="Arial"/>
        </w:rPr>
        <w:t>) to 5 (very large gain)</w:t>
      </w:r>
      <w:r w:rsidR="00562CD1">
        <w:rPr>
          <w:rFonts w:cs="Arial"/>
        </w:rPr>
        <w:t xml:space="preserve">, the same as the scales used by Lopatto </w:t>
      </w:r>
      <w:r w:rsidR="00D614A3">
        <w:rPr>
          <w:rFonts w:cs="Arial"/>
        </w:rPr>
        <w:t>(2007</w:t>
      </w:r>
      <w:r w:rsidR="00562CD1">
        <w:rPr>
          <w:rFonts w:cs="Arial"/>
        </w:rPr>
        <w:t>).</w:t>
      </w:r>
    </w:p>
    <w:p w:rsidR="004B40C6" w:rsidRPr="00250207" w:rsidRDefault="004B40C6" w:rsidP="004B40C6">
      <w:pPr>
        <w:rPr>
          <w:rFonts w:cs="Arial"/>
          <w:b/>
        </w:rPr>
      </w:pPr>
      <w:r w:rsidRPr="00250207">
        <w:rPr>
          <w:rFonts w:cs="Arial"/>
          <w:b/>
        </w:rPr>
        <w:t>Skills surveyed</w:t>
      </w:r>
    </w:p>
    <w:p w:rsidR="004B40C6" w:rsidRPr="00250207" w:rsidRDefault="004B40C6" w:rsidP="004B40C6">
      <w:pPr>
        <w:pStyle w:val="SHERONAQ"/>
        <w:numPr>
          <w:ilvl w:val="0"/>
          <w:numId w:val="5"/>
        </w:numPr>
        <w:tabs>
          <w:tab w:val="left" w:pos="720"/>
        </w:tabs>
        <w:spacing w:after="200" w:line="480" w:lineRule="auto"/>
        <w:rPr>
          <w:rFonts w:cs="Arial"/>
          <w:bCs/>
          <w:color w:val="000000"/>
          <w:sz w:val="22"/>
          <w:szCs w:val="22"/>
          <w:lang w:eastAsia="en-GB"/>
        </w:rPr>
      </w:pPr>
      <w:r w:rsidRPr="00250207">
        <w:rPr>
          <w:rFonts w:cs="Arial"/>
          <w:bCs/>
          <w:color w:val="000000"/>
          <w:sz w:val="22"/>
          <w:szCs w:val="22"/>
          <w:lang w:eastAsia="en-GB"/>
        </w:rPr>
        <w:t>Ability to interpret results or information</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Project management skills</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Time management skills</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Planning experiments</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Practical skills (laboratory or workshop technique</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Working in small teams</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Overcoming obstacles in a project</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lastRenderedPageBreak/>
        <w:t>Ability to read and understand primary literature</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Giving an oral presentation</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Scientific writing</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Keeping laboratory notebook</w:t>
      </w:r>
    </w:p>
    <w:p w:rsidR="004B40C6" w:rsidRPr="00250207" w:rsidRDefault="004B40C6" w:rsidP="004B40C6">
      <w:pPr>
        <w:numPr>
          <w:ilvl w:val="0"/>
          <w:numId w:val="5"/>
        </w:numPr>
        <w:shd w:val="clear" w:color="auto" w:fill="FFFFFF"/>
        <w:rPr>
          <w:rFonts w:eastAsia="Times New Roman" w:cs="Arial"/>
          <w:bCs/>
          <w:color w:val="000000"/>
          <w:lang w:eastAsia="en-GB"/>
        </w:rPr>
      </w:pPr>
      <w:r w:rsidRPr="00250207">
        <w:rPr>
          <w:rFonts w:eastAsia="Times New Roman" w:cs="Arial"/>
          <w:bCs/>
          <w:color w:val="000000"/>
          <w:lang w:eastAsia="en-GB"/>
        </w:rPr>
        <w:t>Self Confidence</w:t>
      </w:r>
    </w:p>
    <w:p w:rsidR="004B40C6" w:rsidRPr="00250207" w:rsidRDefault="004B40C6" w:rsidP="004B40C6">
      <w:pPr>
        <w:numPr>
          <w:ilvl w:val="0"/>
          <w:numId w:val="5"/>
        </w:numPr>
        <w:shd w:val="clear" w:color="auto" w:fill="FFFFFF"/>
        <w:rPr>
          <w:rFonts w:cs="Arial"/>
          <w:bCs/>
          <w:color w:val="000000"/>
          <w:lang w:eastAsia="en-GB"/>
        </w:rPr>
      </w:pPr>
      <w:r w:rsidRPr="00250207">
        <w:rPr>
          <w:rFonts w:eastAsia="Times New Roman" w:cs="Arial"/>
          <w:bCs/>
          <w:color w:val="000000"/>
          <w:lang w:eastAsia="en-GB"/>
        </w:rPr>
        <w:t>Working independently</w:t>
      </w:r>
    </w:p>
    <w:p w:rsidR="004B40C6" w:rsidRPr="00250207" w:rsidRDefault="004B40C6" w:rsidP="004B40C6">
      <w:pPr>
        <w:pStyle w:val="SHERONAQ"/>
        <w:numPr>
          <w:ilvl w:val="0"/>
          <w:numId w:val="5"/>
        </w:numPr>
        <w:tabs>
          <w:tab w:val="left" w:pos="720"/>
        </w:tabs>
        <w:spacing w:after="200" w:line="480" w:lineRule="auto"/>
        <w:rPr>
          <w:rFonts w:cs="Arial"/>
          <w:bCs/>
          <w:color w:val="000000"/>
          <w:sz w:val="22"/>
          <w:szCs w:val="22"/>
          <w:lang w:eastAsia="en-GB"/>
        </w:rPr>
      </w:pPr>
      <w:r w:rsidRPr="00250207">
        <w:rPr>
          <w:rFonts w:cs="Arial"/>
          <w:bCs/>
          <w:color w:val="000000"/>
          <w:sz w:val="22"/>
          <w:szCs w:val="22"/>
          <w:lang w:eastAsia="en-GB"/>
        </w:rPr>
        <w:t>Knowing what you</w:t>
      </w:r>
      <w:r w:rsidR="00DD5C5B">
        <w:rPr>
          <w:rFonts w:cs="Arial"/>
          <w:bCs/>
          <w:color w:val="000000"/>
          <w:sz w:val="22"/>
          <w:szCs w:val="22"/>
          <w:lang w:eastAsia="en-GB"/>
        </w:rPr>
        <w:t xml:space="preserve"> want to do after graduating i.e. </w:t>
      </w:r>
      <w:r w:rsidRPr="00250207">
        <w:rPr>
          <w:rFonts w:cs="Arial"/>
          <w:bCs/>
          <w:color w:val="000000"/>
          <w:sz w:val="22"/>
          <w:szCs w:val="22"/>
          <w:lang w:eastAsia="en-GB"/>
        </w:rPr>
        <w:t>career path</w:t>
      </w:r>
    </w:p>
    <w:p w:rsidR="004B40C6" w:rsidRPr="00250207" w:rsidRDefault="004B40C6" w:rsidP="004B40C6">
      <w:pPr>
        <w:rPr>
          <w:rFonts w:cs="Arial"/>
        </w:rPr>
      </w:pPr>
      <w:r w:rsidRPr="00250207">
        <w:rPr>
          <w:rFonts w:cs="Arial"/>
        </w:rPr>
        <w:t>The survey also asked students a</w:t>
      </w:r>
      <w:r w:rsidR="00DB24D4">
        <w:rPr>
          <w:rFonts w:cs="Arial"/>
        </w:rPr>
        <w:t xml:space="preserve">bout aspects of an internship </w:t>
      </w:r>
      <w:r w:rsidRPr="00250207">
        <w:rPr>
          <w:rFonts w:cs="Arial"/>
        </w:rPr>
        <w:t>that might have increased their learning gains. They were asked to</w:t>
      </w:r>
      <w:r w:rsidR="00DD5C5B">
        <w:rPr>
          <w:rFonts w:cs="Arial"/>
        </w:rPr>
        <w:t xml:space="preserve"> rate their level of agreement </w:t>
      </w:r>
      <w:r w:rsidR="002275DD">
        <w:rPr>
          <w:rFonts w:cs="Arial"/>
        </w:rPr>
        <w:t>(strongly</w:t>
      </w:r>
      <w:r w:rsidR="00DD5C5B">
        <w:rPr>
          <w:rFonts w:cs="Arial"/>
        </w:rPr>
        <w:t xml:space="preserve"> agree to strongly disagree) </w:t>
      </w:r>
      <w:r w:rsidRPr="00250207">
        <w:rPr>
          <w:rFonts w:cs="Arial"/>
        </w:rPr>
        <w:t xml:space="preserve">with the </w:t>
      </w:r>
      <w:r w:rsidR="002275DD" w:rsidRPr="00250207">
        <w:rPr>
          <w:rFonts w:cs="Arial"/>
        </w:rPr>
        <w:t>statement”</w:t>
      </w:r>
      <w:r w:rsidRPr="00250207">
        <w:rPr>
          <w:rFonts w:cs="Arial"/>
        </w:rPr>
        <w:t xml:space="preserve"> I think my learning gain from doing a research internship would have been greater if there had been…</w:t>
      </w:r>
    </w:p>
    <w:p w:rsidR="004B40C6" w:rsidRPr="00250207" w:rsidRDefault="004B40C6" w:rsidP="004B40C6">
      <w:pPr>
        <w:numPr>
          <w:ilvl w:val="0"/>
          <w:numId w:val="4"/>
        </w:numPr>
        <w:rPr>
          <w:rFonts w:cs="Arial"/>
        </w:rPr>
      </w:pPr>
      <w:r w:rsidRPr="00250207">
        <w:rPr>
          <w:rFonts w:cs="Arial"/>
        </w:rPr>
        <w:t>More contact with supervisors</w:t>
      </w:r>
    </w:p>
    <w:p w:rsidR="004B40C6" w:rsidRPr="00250207" w:rsidRDefault="004B40C6" w:rsidP="004B40C6">
      <w:pPr>
        <w:numPr>
          <w:ilvl w:val="0"/>
          <w:numId w:val="4"/>
        </w:numPr>
        <w:rPr>
          <w:rFonts w:cs="Arial"/>
        </w:rPr>
      </w:pPr>
      <w:r w:rsidRPr="00250207">
        <w:rPr>
          <w:rFonts w:cs="Arial"/>
        </w:rPr>
        <w:t>More time in the laboratory</w:t>
      </w:r>
    </w:p>
    <w:p w:rsidR="004B40C6" w:rsidRPr="00250207" w:rsidRDefault="004B40C6" w:rsidP="004B40C6">
      <w:pPr>
        <w:numPr>
          <w:ilvl w:val="0"/>
          <w:numId w:val="4"/>
        </w:numPr>
        <w:rPr>
          <w:rFonts w:cs="Arial"/>
        </w:rPr>
      </w:pPr>
      <w:r w:rsidRPr="00250207">
        <w:rPr>
          <w:rFonts w:cs="Arial"/>
        </w:rPr>
        <w:t>More research meetings</w:t>
      </w:r>
    </w:p>
    <w:p w:rsidR="004B40C6" w:rsidRPr="00250207" w:rsidRDefault="004B40C6" w:rsidP="004B40C6">
      <w:pPr>
        <w:numPr>
          <w:ilvl w:val="0"/>
          <w:numId w:val="4"/>
        </w:numPr>
        <w:rPr>
          <w:rFonts w:cs="Arial"/>
        </w:rPr>
      </w:pPr>
      <w:r w:rsidRPr="00250207">
        <w:rPr>
          <w:rFonts w:cs="Arial"/>
        </w:rPr>
        <w:t>Increased formal training</w:t>
      </w:r>
    </w:p>
    <w:p w:rsidR="004B40C6" w:rsidRPr="00250207" w:rsidRDefault="004B40C6" w:rsidP="004B40C6">
      <w:pPr>
        <w:numPr>
          <w:ilvl w:val="0"/>
          <w:numId w:val="4"/>
        </w:numPr>
        <w:rPr>
          <w:rFonts w:cs="Arial"/>
        </w:rPr>
      </w:pPr>
      <w:r w:rsidRPr="00250207">
        <w:rPr>
          <w:rFonts w:cs="Arial"/>
        </w:rPr>
        <w:t>More opportunities for oral presentation</w:t>
      </w:r>
    </w:p>
    <w:p w:rsidR="004B40C6" w:rsidRPr="00250207" w:rsidRDefault="004B40C6" w:rsidP="004B40C6">
      <w:pPr>
        <w:numPr>
          <w:ilvl w:val="0"/>
          <w:numId w:val="4"/>
        </w:numPr>
        <w:rPr>
          <w:rFonts w:cs="Arial"/>
        </w:rPr>
      </w:pPr>
      <w:r w:rsidRPr="00250207">
        <w:rPr>
          <w:rFonts w:cs="Arial"/>
        </w:rPr>
        <w:lastRenderedPageBreak/>
        <w:t>A final report requirement</w:t>
      </w:r>
    </w:p>
    <w:p w:rsidR="00D97046" w:rsidRDefault="004B40C6" w:rsidP="00D97046">
      <w:pPr>
        <w:rPr>
          <w:rFonts w:cs="Arial"/>
        </w:rPr>
      </w:pPr>
      <w:r w:rsidRPr="00250207">
        <w:rPr>
          <w:rFonts w:cs="Arial"/>
        </w:rPr>
        <w:t>The questionnaire also asked for demographic data</w:t>
      </w:r>
      <w:r>
        <w:rPr>
          <w:rFonts w:cs="Arial"/>
        </w:rPr>
        <w:t xml:space="preserve">. </w:t>
      </w:r>
      <w:r w:rsidRPr="00250207">
        <w:rPr>
          <w:rFonts w:cs="Arial"/>
        </w:rPr>
        <w:t xml:space="preserve">The survey was hosted on Bristol Surveys </w:t>
      </w:r>
      <w:r w:rsidR="002275DD" w:rsidRPr="00250207">
        <w:rPr>
          <w:rFonts w:cs="Arial"/>
        </w:rPr>
        <w:t>and previous</w:t>
      </w:r>
      <w:r w:rsidRPr="00250207">
        <w:rPr>
          <w:rFonts w:cs="Arial"/>
        </w:rPr>
        <w:t xml:space="preserve"> interns </w:t>
      </w:r>
      <w:r w:rsidR="00562CD1">
        <w:rPr>
          <w:rFonts w:cs="Arial"/>
        </w:rPr>
        <w:t xml:space="preserve">(45) </w:t>
      </w:r>
      <w:r w:rsidRPr="00250207">
        <w:rPr>
          <w:rFonts w:cs="Arial"/>
        </w:rPr>
        <w:t>were invited</w:t>
      </w:r>
      <w:r w:rsidR="00562CD1">
        <w:rPr>
          <w:rFonts w:cs="Arial"/>
        </w:rPr>
        <w:t xml:space="preserve"> to complete the survey</w:t>
      </w:r>
      <w:r>
        <w:rPr>
          <w:rFonts w:cs="Arial"/>
        </w:rPr>
        <w:t xml:space="preserve">. </w:t>
      </w:r>
      <w:r w:rsidRPr="00250207">
        <w:rPr>
          <w:rFonts w:cs="Arial"/>
          <w:color w:val="000000"/>
        </w:rPr>
        <w:t xml:space="preserve">Ethical approval for the questionnaire was gained from </w:t>
      </w:r>
      <w:r w:rsidR="00DD5C5B">
        <w:rPr>
          <w:rFonts w:cs="Arial"/>
        </w:rPr>
        <w:t>the Ethics C</w:t>
      </w:r>
      <w:r w:rsidRPr="00250207">
        <w:rPr>
          <w:rFonts w:cs="Arial"/>
        </w:rPr>
        <w:t>ommittee of the Centre for Higher Education Research and Practice at Kingston University.</w:t>
      </w:r>
    </w:p>
    <w:p w:rsidR="00B65974" w:rsidRPr="00B65974" w:rsidRDefault="00B65974" w:rsidP="00B65974">
      <w:pPr>
        <w:rPr>
          <w:rFonts w:cs="Arial"/>
          <w:b/>
          <w:noProof/>
          <w:lang w:eastAsia="en-GB"/>
        </w:rPr>
      </w:pPr>
      <w:r w:rsidRPr="00B65974">
        <w:rPr>
          <w:rFonts w:cs="Arial"/>
          <w:b/>
          <w:noProof/>
          <w:lang w:eastAsia="en-GB"/>
        </w:rPr>
        <w:t>Results</w:t>
      </w:r>
    </w:p>
    <w:p w:rsidR="00B65974" w:rsidRDefault="00E06ECB" w:rsidP="00B65974">
      <w:pPr>
        <w:rPr>
          <w:rFonts w:cs="Arial"/>
        </w:rPr>
      </w:pPr>
      <w:r>
        <w:rPr>
          <w:rFonts w:cs="Arial"/>
        </w:rPr>
        <w:t>Twenty three</w:t>
      </w:r>
      <w:r w:rsidR="00B65974" w:rsidRPr="00250207">
        <w:rPr>
          <w:rFonts w:cs="Arial"/>
        </w:rPr>
        <w:t xml:space="preserve"> responses were received from 45 interns. It is int</w:t>
      </w:r>
      <w:r>
        <w:rPr>
          <w:rFonts w:cs="Arial"/>
        </w:rPr>
        <w:t>eresting to note that key</w:t>
      </w:r>
      <w:r w:rsidR="00B65974" w:rsidRPr="00250207">
        <w:rPr>
          <w:rFonts w:cs="Arial"/>
        </w:rPr>
        <w:t xml:space="preserve"> skills such as working independently </w:t>
      </w:r>
      <w:r w:rsidR="002275DD" w:rsidRPr="00250207">
        <w:rPr>
          <w:rFonts w:cs="Arial"/>
        </w:rPr>
        <w:t>and project</w:t>
      </w:r>
      <w:r w:rsidR="00B65974" w:rsidRPr="00250207">
        <w:rPr>
          <w:rFonts w:cs="Arial"/>
        </w:rPr>
        <w:t xml:space="preserve"> and time management skills had the highest rated </w:t>
      </w:r>
      <w:r w:rsidR="002275DD" w:rsidRPr="00250207">
        <w:rPr>
          <w:rFonts w:cs="Arial"/>
        </w:rPr>
        <w:t>gains;</w:t>
      </w:r>
      <w:r w:rsidR="00B65974" w:rsidRPr="00250207">
        <w:rPr>
          <w:rFonts w:cs="Arial"/>
        </w:rPr>
        <w:t xml:space="preserve"> this is likely to be due to them being needed for all the internship projects. Pr</w:t>
      </w:r>
      <w:r>
        <w:rPr>
          <w:rFonts w:cs="Arial"/>
        </w:rPr>
        <w:t>actical skills and keeping a laboratory</w:t>
      </w:r>
      <w:r w:rsidR="00B65974" w:rsidRPr="00250207">
        <w:rPr>
          <w:rFonts w:cs="Arial"/>
        </w:rPr>
        <w:t xml:space="preserve"> notebook were amongst the lowest, this can be attributed to some of the projects not being laboratory based; Figure 4 shows that these three skills have a number of responses giving a zero, whereas there are no zero responses  for the project and time management ski</w:t>
      </w:r>
      <w:r>
        <w:rPr>
          <w:rFonts w:cs="Arial"/>
        </w:rPr>
        <w:t>lls and working independently</w:t>
      </w:r>
      <w:r w:rsidR="00B65974" w:rsidRPr="00250207">
        <w:rPr>
          <w:rFonts w:cs="Arial"/>
        </w:rPr>
        <w:t xml:space="preserve">. </w:t>
      </w:r>
    </w:p>
    <w:p w:rsidR="00B915E3" w:rsidRDefault="00B915E3" w:rsidP="00B65974">
      <w:pPr>
        <w:rPr>
          <w:rFonts w:cs="Arial"/>
        </w:rPr>
        <w:sectPr w:rsidR="00B915E3" w:rsidSect="00B915E3">
          <w:type w:val="continuous"/>
          <w:pgSz w:w="11906" w:h="16838"/>
          <w:pgMar w:top="1440" w:right="1440" w:bottom="1440" w:left="1440" w:header="708" w:footer="708" w:gutter="0"/>
          <w:cols w:num="2" w:space="708"/>
          <w:docGrid w:linePitch="360"/>
        </w:sectPr>
      </w:pPr>
    </w:p>
    <w:p w:rsidR="00B915E3" w:rsidRPr="00250207" w:rsidRDefault="00B915E3" w:rsidP="00B65974">
      <w:pPr>
        <w:rPr>
          <w:rFonts w:cs="Arial"/>
        </w:rPr>
      </w:pPr>
      <w:r>
        <w:rPr>
          <w:noProof/>
          <w:lang w:eastAsia="en-GB"/>
        </w:rPr>
        <w:lastRenderedPageBreak/>
        <w:drawing>
          <wp:inline distT="0" distB="0" distL="0" distR="0">
            <wp:extent cx="5080000" cy="2598057"/>
            <wp:effectExtent l="0" t="0" r="635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15E3" w:rsidRPr="009328BB" w:rsidRDefault="00B915E3" w:rsidP="00187958">
      <w:pPr>
        <w:rPr>
          <w:rFonts w:cs="Arial"/>
          <w:noProof/>
          <w:lang w:eastAsia="en-GB"/>
        </w:rPr>
      </w:pPr>
      <w:r w:rsidRPr="009328BB">
        <w:rPr>
          <w:rFonts w:cs="Arial"/>
          <w:b/>
          <w:noProof/>
          <w:lang w:eastAsia="en-GB"/>
        </w:rPr>
        <w:t>Figure 3.</w:t>
      </w:r>
      <w:r w:rsidRPr="009328BB">
        <w:rPr>
          <w:rFonts w:cs="Arial"/>
          <w:noProof/>
          <w:lang w:eastAsia="en-GB"/>
        </w:rPr>
        <w:t xml:space="preserve"> Mean learning gain ratings for interns (n=23)</w:t>
      </w:r>
    </w:p>
    <w:p w:rsidR="00B915E3" w:rsidRDefault="00B915E3" w:rsidP="00187958">
      <w:pPr>
        <w:rPr>
          <w:rFonts w:cs="Arial"/>
        </w:rPr>
      </w:pPr>
      <w:r>
        <w:rPr>
          <w:noProof/>
          <w:lang w:eastAsia="en-GB"/>
        </w:rPr>
        <w:drawing>
          <wp:inline distT="0" distB="0" distL="0" distR="0">
            <wp:extent cx="5094514" cy="2757714"/>
            <wp:effectExtent l="0" t="0" r="0" b="508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5C5B" w:rsidRDefault="00DD5C5B" w:rsidP="00187958">
      <w:pPr>
        <w:rPr>
          <w:rFonts w:cs="Arial"/>
        </w:rPr>
      </w:pPr>
    </w:p>
    <w:p w:rsidR="00DD5C5B" w:rsidRDefault="00DD5C5B" w:rsidP="00187958">
      <w:pPr>
        <w:rPr>
          <w:rFonts w:cs="Arial"/>
        </w:rPr>
        <w:sectPr w:rsidR="00DD5C5B" w:rsidSect="00B915E3">
          <w:type w:val="continuous"/>
          <w:pgSz w:w="11906" w:h="16838"/>
          <w:pgMar w:top="1440" w:right="1440" w:bottom="1440" w:left="1440" w:header="708" w:footer="708" w:gutter="0"/>
          <w:cols w:space="708"/>
          <w:docGrid w:linePitch="360"/>
        </w:sectPr>
      </w:pPr>
      <w:proofErr w:type="gramStart"/>
      <w:r w:rsidRPr="002275DD">
        <w:rPr>
          <w:rFonts w:cs="Arial"/>
          <w:b/>
        </w:rPr>
        <w:t>Figure 4</w:t>
      </w:r>
      <w:r w:rsidR="002275DD" w:rsidRPr="002275DD">
        <w:rPr>
          <w:rFonts w:cs="Arial"/>
          <w:b/>
        </w:rPr>
        <w:t>.</w:t>
      </w:r>
      <w:proofErr w:type="gramEnd"/>
      <w:r w:rsidR="002275DD">
        <w:rPr>
          <w:rFonts w:cs="Arial"/>
        </w:rPr>
        <w:t xml:space="preserve"> Histograms for responses for selected questions on key skills and laboratory skills</w:t>
      </w:r>
    </w:p>
    <w:p w:rsidR="00B915E3" w:rsidRDefault="00B65974" w:rsidP="00187958">
      <w:pPr>
        <w:rPr>
          <w:rFonts w:cs="Arial"/>
        </w:rPr>
        <w:sectPr w:rsidR="00B915E3" w:rsidSect="00B915E3">
          <w:type w:val="continuous"/>
          <w:pgSz w:w="11906" w:h="16838"/>
          <w:pgMar w:top="1440" w:right="1440" w:bottom="1440" w:left="1440" w:header="708" w:footer="708" w:gutter="0"/>
          <w:cols w:num="2" w:space="708"/>
          <w:docGrid w:linePitch="360"/>
        </w:sectPr>
      </w:pPr>
      <w:r w:rsidRPr="00250207">
        <w:rPr>
          <w:rFonts w:cs="Arial"/>
        </w:rPr>
        <w:lastRenderedPageBreak/>
        <w:t xml:space="preserve">These results are fairly consistent with those of Hunter </w:t>
      </w:r>
      <w:r w:rsidRPr="00250207">
        <w:rPr>
          <w:rFonts w:cs="Arial"/>
          <w:i/>
        </w:rPr>
        <w:t>et al</w:t>
      </w:r>
      <w:r w:rsidRPr="00250207">
        <w:rPr>
          <w:rFonts w:cs="Arial"/>
        </w:rPr>
        <w:t>. (2012) who found students reported the most significant gains on doing an undergraduate research experience to be</w:t>
      </w:r>
      <w:r w:rsidR="002275DD">
        <w:rPr>
          <w:rFonts w:cs="Arial"/>
        </w:rPr>
        <w:t>:</w:t>
      </w:r>
      <w:r w:rsidRPr="00250207">
        <w:rPr>
          <w:rFonts w:cs="Arial"/>
        </w:rPr>
        <w:t xml:space="preserve">  confidence, </w:t>
      </w:r>
      <w:r w:rsidRPr="00250207">
        <w:rPr>
          <w:rFonts w:cs="Arial"/>
        </w:rPr>
        <w:lastRenderedPageBreak/>
        <w:t>understanding of how science research is done, the ability to work independently and post-graduation/career plans.  The survey used in our evaluation was based on t</w:t>
      </w:r>
      <w:r w:rsidR="002275DD">
        <w:rPr>
          <w:rFonts w:cs="Arial"/>
        </w:rPr>
        <w:t xml:space="preserve">hat developed by Lopatto (2007), </w:t>
      </w:r>
      <w:r w:rsidRPr="00250207">
        <w:rPr>
          <w:rFonts w:cs="Arial"/>
        </w:rPr>
        <w:t xml:space="preserve">who </w:t>
      </w:r>
      <w:r w:rsidR="002275DD" w:rsidRPr="00250207">
        <w:rPr>
          <w:rFonts w:cs="Arial"/>
        </w:rPr>
        <w:lastRenderedPageBreak/>
        <w:t>reported the</w:t>
      </w:r>
      <w:r w:rsidRPr="00250207">
        <w:rPr>
          <w:rFonts w:cs="Arial"/>
        </w:rPr>
        <w:t xml:space="preserve"> largest </w:t>
      </w:r>
      <w:r w:rsidR="002275DD" w:rsidRPr="00250207">
        <w:rPr>
          <w:rFonts w:cs="Arial"/>
        </w:rPr>
        <w:t>student gains</w:t>
      </w:r>
      <w:r w:rsidRPr="00250207">
        <w:rPr>
          <w:rFonts w:cs="Arial"/>
        </w:rPr>
        <w:t xml:space="preserve"> </w:t>
      </w:r>
      <w:r w:rsidR="002275DD" w:rsidRPr="00250207">
        <w:rPr>
          <w:rFonts w:cs="Arial"/>
        </w:rPr>
        <w:t>as “</w:t>
      </w:r>
      <w:r w:rsidRPr="00250207">
        <w:rPr>
          <w:rFonts w:cs="Arial"/>
        </w:rPr>
        <w:t xml:space="preserve">Understanding the research process”, “readiness for more demanding research”, “understanding how problems are tackled” and “learning laboratory techniques”. Lopatto found that “skills in science writing and oral presentation” and “clarification of career path” were reported as having the lowest student perceived learning gain. </w:t>
      </w:r>
      <w:r w:rsidRPr="00250207">
        <w:rPr>
          <w:rFonts w:cs="Arial"/>
        </w:rPr>
        <w:lastRenderedPageBreak/>
        <w:t>Again this was consistent with our findings. When asked to rate their agr</w:t>
      </w:r>
      <w:r w:rsidR="00B915E3">
        <w:rPr>
          <w:rFonts w:cs="Arial"/>
        </w:rPr>
        <w:t>e</w:t>
      </w:r>
      <w:r w:rsidRPr="00250207">
        <w:rPr>
          <w:rFonts w:cs="Arial"/>
        </w:rPr>
        <w:t>ement on whether changes wo</w:t>
      </w:r>
      <w:r w:rsidR="00E06ECB">
        <w:rPr>
          <w:rFonts w:cs="Arial"/>
        </w:rPr>
        <w:t xml:space="preserve">uld improve the learning gain , </w:t>
      </w:r>
      <w:r w:rsidRPr="00250207">
        <w:rPr>
          <w:rFonts w:cs="Arial"/>
        </w:rPr>
        <w:t>students were less likely to agree that the gains would be improved if there were more opportunities for oral presentation and a formal requirement for a final report</w:t>
      </w:r>
      <w:r w:rsidR="00B915E3">
        <w:rPr>
          <w:rFonts w:cs="Arial"/>
        </w:rPr>
        <w:t>, Figure 5</w:t>
      </w:r>
    </w:p>
    <w:p w:rsidR="00187958" w:rsidRPr="00250207" w:rsidRDefault="00187958" w:rsidP="00187958">
      <w:pPr>
        <w:rPr>
          <w:rFonts w:cs="Arial"/>
          <w:noProof/>
          <w:lang w:eastAsia="en-GB"/>
        </w:rPr>
      </w:pPr>
      <w:r w:rsidRPr="00187958">
        <w:rPr>
          <w:rFonts w:cs="Arial"/>
          <w:noProof/>
          <w:lang w:eastAsia="en-GB"/>
        </w:rPr>
        <w:lastRenderedPageBreak/>
        <w:t xml:space="preserve"> </w:t>
      </w:r>
      <w:r w:rsidR="00B915E3">
        <w:rPr>
          <w:noProof/>
          <w:lang w:eastAsia="en-GB"/>
        </w:rPr>
        <w:drawing>
          <wp:inline distT="0" distB="0" distL="0" distR="0">
            <wp:extent cx="6037943" cy="3149600"/>
            <wp:effectExtent l="0" t="0" r="127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15E3" w:rsidRPr="002275DD" w:rsidRDefault="00B915E3" w:rsidP="00B915E3">
      <w:pPr>
        <w:jc w:val="both"/>
        <w:rPr>
          <w:rStyle w:val="apple-converted-space"/>
          <w:b/>
          <w:color w:val="000000"/>
          <w:shd w:val="clear" w:color="auto" w:fill="FFFFFF"/>
        </w:rPr>
      </w:pPr>
      <w:proofErr w:type="gramStart"/>
      <w:r w:rsidRPr="002275DD">
        <w:rPr>
          <w:rStyle w:val="apple-converted-space"/>
          <w:b/>
          <w:color w:val="000000"/>
          <w:shd w:val="clear" w:color="auto" w:fill="FFFFFF"/>
        </w:rPr>
        <w:t>Figure 5</w:t>
      </w:r>
      <w:r w:rsidR="002275DD">
        <w:rPr>
          <w:rStyle w:val="apple-converted-space"/>
          <w:b/>
          <w:color w:val="000000"/>
          <w:shd w:val="clear" w:color="auto" w:fill="FFFFFF"/>
        </w:rPr>
        <w:t>.</w:t>
      </w:r>
      <w:proofErr w:type="gramEnd"/>
      <w:r w:rsidRPr="002275DD">
        <w:rPr>
          <w:rStyle w:val="apple-converted-space"/>
          <w:b/>
          <w:color w:val="000000"/>
          <w:shd w:val="clear" w:color="auto" w:fill="FFFFFF"/>
        </w:rPr>
        <w:t xml:space="preserve"> </w:t>
      </w:r>
      <w:r w:rsidRPr="002275DD">
        <w:rPr>
          <w:rStyle w:val="apple-converted-space"/>
          <w:color w:val="000000"/>
          <w:shd w:val="clear" w:color="auto" w:fill="FFFFFF"/>
        </w:rPr>
        <w:t xml:space="preserve">Likert scale responses </w:t>
      </w:r>
      <w:r w:rsidR="002275DD" w:rsidRPr="002275DD">
        <w:rPr>
          <w:rStyle w:val="apple-converted-space"/>
          <w:color w:val="000000"/>
          <w:shd w:val="clear" w:color="auto" w:fill="FFFFFF"/>
        </w:rPr>
        <w:t>for changes</w:t>
      </w:r>
      <w:r w:rsidRPr="002275DD">
        <w:rPr>
          <w:rStyle w:val="apple-converted-space"/>
          <w:color w:val="000000"/>
          <w:shd w:val="clear" w:color="auto" w:fill="FFFFFF"/>
        </w:rPr>
        <w:t xml:space="preserve"> that might increase learning gain from doing an internship</w:t>
      </w:r>
    </w:p>
    <w:p w:rsidR="00BB79EB" w:rsidRDefault="00BB79EB" w:rsidP="00D97046">
      <w:pPr>
        <w:rPr>
          <w:rFonts w:cs="Arial"/>
        </w:rPr>
      </w:pPr>
      <w:r>
        <w:rPr>
          <w:noProof/>
          <w:lang w:eastAsia="en-GB"/>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172075" cy="353377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B79EB" w:rsidRPr="00BB79EB" w:rsidRDefault="00BB79EB" w:rsidP="00BB79EB">
      <w:pPr>
        <w:rPr>
          <w:rFonts w:cs="Arial"/>
        </w:rPr>
      </w:pPr>
    </w:p>
    <w:p w:rsidR="00BB79EB" w:rsidRPr="00BB79EB" w:rsidRDefault="00BB79EB" w:rsidP="00BB79EB">
      <w:pPr>
        <w:rPr>
          <w:rFonts w:cs="Arial"/>
        </w:rPr>
      </w:pPr>
    </w:p>
    <w:p w:rsidR="00BB79EB" w:rsidRPr="00BB79EB" w:rsidRDefault="00BB79EB" w:rsidP="00BB79EB">
      <w:pPr>
        <w:rPr>
          <w:rFonts w:cs="Arial"/>
        </w:rPr>
      </w:pPr>
    </w:p>
    <w:p w:rsidR="00BB79EB" w:rsidRPr="00BB79EB" w:rsidRDefault="00BB79EB" w:rsidP="00BB79EB">
      <w:pPr>
        <w:rPr>
          <w:rFonts w:cs="Arial"/>
        </w:rPr>
      </w:pPr>
    </w:p>
    <w:p w:rsidR="00BB79EB" w:rsidRPr="00BB79EB" w:rsidRDefault="00BB79EB" w:rsidP="00BB79EB">
      <w:pPr>
        <w:rPr>
          <w:rFonts w:cs="Arial"/>
        </w:rPr>
      </w:pPr>
    </w:p>
    <w:p w:rsidR="00BB79EB" w:rsidRDefault="00BB79EB" w:rsidP="00D97046">
      <w:pPr>
        <w:rPr>
          <w:rFonts w:cs="Arial"/>
        </w:rPr>
      </w:pPr>
    </w:p>
    <w:p w:rsidR="00BB79EB" w:rsidRDefault="00BB79EB" w:rsidP="00D97046">
      <w:pPr>
        <w:rPr>
          <w:rFonts w:cs="Arial"/>
        </w:rPr>
      </w:pPr>
    </w:p>
    <w:p w:rsidR="00BB79EB" w:rsidRPr="00BB79EB" w:rsidRDefault="00BB79EB" w:rsidP="00D97046">
      <w:pPr>
        <w:rPr>
          <w:rFonts w:cs="Arial"/>
        </w:rPr>
      </w:pPr>
      <w:r w:rsidRPr="00DD5C5B">
        <w:rPr>
          <w:rFonts w:cs="Arial"/>
          <w:b/>
        </w:rPr>
        <w:t>Figure</w:t>
      </w:r>
      <w:r w:rsidR="00DD5C5B" w:rsidRPr="00DD5C5B">
        <w:rPr>
          <w:rFonts w:cs="Arial"/>
          <w:b/>
        </w:rPr>
        <w:t xml:space="preserve"> </w:t>
      </w:r>
      <w:r w:rsidRPr="00DD5C5B">
        <w:rPr>
          <w:rFonts w:cs="Arial"/>
          <w:b/>
        </w:rPr>
        <w:t>6</w:t>
      </w:r>
      <w:r w:rsidRPr="00BB79EB">
        <w:rPr>
          <w:rFonts w:cs="Arial"/>
        </w:rPr>
        <w:t xml:space="preserve">. </w:t>
      </w:r>
      <w:r w:rsidRPr="00BB79EB">
        <w:rPr>
          <w:rFonts w:cs="Arial"/>
          <w:noProof/>
          <w:lang w:eastAsia="en-GB"/>
        </w:rPr>
        <w:t>Mean learning gains for Science interns compared to engineering interns</w:t>
      </w:r>
    </w:p>
    <w:p w:rsidR="00BB79EB" w:rsidRDefault="00BB79EB" w:rsidP="00D97046">
      <w:pPr>
        <w:rPr>
          <w:rFonts w:cs="Arial"/>
        </w:rPr>
        <w:sectPr w:rsidR="00BB79EB" w:rsidSect="00B915E3">
          <w:type w:val="continuous"/>
          <w:pgSz w:w="11906" w:h="16838"/>
          <w:pgMar w:top="1440" w:right="1440" w:bottom="1440" w:left="1440" w:header="708" w:footer="708" w:gutter="0"/>
          <w:cols w:space="708"/>
          <w:docGrid w:linePitch="360"/>
        </w:sectPr>
      </w:pPr>
      <w:r>
        <w:rPr>
          <w:rFonts w:cs="Arial"/>
        </w:rPr>
        <w:br w:type="textWrapping" w:clear="all"/>
      </w:r>
    </w:p>
    <w:p w:rsidR="00B65974" w:rsidRDefault="00907BE4" w:rsidP="00C12D3E">
      <w:pPr>
        <w:rPr>
          <w:rFonts w:cs="Arial"/>
        </w:rPr>
      </w:pPr>
      <w:r w:rsidRPr="00250207">
        <w:rPr>
          <w:rFonts w:cs="Arial"/>
        </w:rPr>
        <w:lastRenderedPageBreak/>
        <w:t>One aim of the project was</w:t>
      </w:r>
      <w:r w:rsidR="00B915E3">
        <w:rPr>
          <w:rFonts w:cs="Arial"/>
        </w:rPr>
        <w:t xml:space="preserve"> </w:t>
      </w:r>
      <w:r w:rsidRPr="00250207">
        <w:rPr>
          <w:rFonts w:cs="Arial"/>
        </w:rPr>
        <w:t xml:space="preserve">to see if there </w:t>
      </w:r>
      <w:r w:rsidR="002275DD" w:rsidRPr="00250207">
        <w:rPr>
          <w:rFonts w:cs="Arial"/>
        </w:rPr>
        <w:t>were any differences</w:t>
      </w:r>
      <w:r w:rsidRPr="00250207">
        <w:rPr>
          <w:rFonts w:cs="Arial"/>
        </w:rPr>
        <w:t xml:space="preserve"> b</w:t>
      </w:r>
      <w:r w:rsidR="00E06ECB">
        <w:rPr>
          <w:rFonts w:cs="Arial"/>
        </w:rPr>
        <w:t>etween engineering and science i</w:t>
      </w:r>
      <w:r w:rsidRPr="00250207">
        <w:rPr>
          <w:rFonts w:cs="Arial"/>
        </w:rPr>
        <w:t>nterns</w:t>
      </w:r>
      <w:r w:rsidR="00E06ECB">
        <w:rPr>
          <w:rFonts w:cs="Arial"/>
        </w:rPr>
        <w:t>’</w:t>
      </w:r>
      <w:r w:rsidRPr="00250207">
        <w:rPr>
          <w:rFonts w:cs="Arial"/>
        </w:rPr>
        <w:t xml:space="preserve"> views of their gains. Unfortunately, this is rather difficult with only 7 responses </w:t>
      </w:r>
      <w:r w:rsidR="002275DD" w:rsidRPr="00250207">
        <w:rPr>
          <w:rFonts w:cs="Arial"/>
        </w:rPr>
        <w:t>from engineering</w:t>
      </w:r>
      <w:r w:rsidR="00E06ECB">
        <w:rPr>
          <w:rFonts w:cs="Arial"/>
        </w:rPr>
        <w:t xml:space="preserve"> interns. However, F</w:t>
      </w:r>
      <w:r w:rsidRPr="00250207">
        <w:rPr>
          <w:rFonts w:cs="Arial"/>
        </w:rPr>
        <w:t xml:space="preserve">igure 4 does give the general impression that engineering </w:t>
      </w:r>
      <w:proofErr w:type="gramStart"/>
      <w:r w:rsidRPr="00250207">
        <w:rPr>
          <w:rFonts w:cs="Arial"/>
        </w:rPr>
        <w:t>students  rate</w:t>
      </w:r>
      <w:proofErr w:type="gramEnd"/>
      <w:r w:rsidRPr="00250207">
        <w:rPr>
          <w:rFonts w:cs="Arial"/>
        </w:rPr>
        <w:t xml:space="preserve"> gains in generic skills and research skills less highly than the science interns. This may be because they are doing the internships for different reasons and may also explain why internships are generally less prevalent in engineering disciplines than in science</w:t>
      </w:r>
      <w:r w:rsidR="004B1681">
        <w:rPr>
          <w:rFonts w:cs="Arial"/>
        </w:rPr>
        <w:t>.</w:t>
      </w:r>
    </w:p>
    <w:p w:rsidR="004B1681" w:rsidRPr="004B1681" w:rsidRDefault="004B1681" w:rsidP="00C12D3E">
      <w:pPr>
        <w:rPr>
          <w:rFonts w:cs="Arial"/>
          <w:b/>
        </w:rPr>
      </w:pPr>
      <w:r w:rsidRPr="004B1681">
        <w:rPr>
          <w:rFonts w:cs="Arial"/>
          <w:b/>
        </w:rPr>
        <w:lastRenderedPageBreak/>
        <w:t>Conclusions</w:t>
      </w:r>
    </w:p>
    <w:p w:rsidR="004B1681" w:rsidRDefault="004B1681" w:rsidP="00C12D3E">
      <w:r>
        <w:rPr>
          <w:rFonts w:cs="Arial"/>
        </w:rPr>
        <w:t xml:space="preserve">In line with many other studies the student reported learning gains from doing an internship are high, indicating that students value the experiences highly.  No firm conclusions of differences between Science and Engineering interns can be drawn from the small population surveyed so far. The intention is to survey students in future years to build a bigger sample, </w:t>
      </w:r>
      <w:r w:rsidR="00D53994">
        <w:rPr>
          <w:rFonts w:cs="Arial"/>
        </w:rPr>
        <w:t>as other have done (</w:t>
      </w:r>
      <w:r w:rsidR="002275DD">
        <w:rPr>
          <w:rFonts w:cs="Arial"/>
        </w:rPr>
        <w:t>Stanford,</w:t>
      </w:r>
      <w:r w:rsidR="00D53994">
        <w:rPr>
          <w:rFonts w:cs="Arial"/>
        </w:rPr>
        <w:t xml:space="preserve"> 2015</w:t>
      </w:r>
      <w:r>
        <w:rPr>
          <w:rFonts w:cs="Arial"/>
        </w:rPr>
        <w:t>)</w:t>
      </w:r>
      <w:r w:rsidR="00D53994">
        <w:rPr>
          <w:rFonts w:cs="Arial"/>
        </w:rPr>
        <w:t xml:space="preserve">.  </w:t>
      </w:r>
      <w:r w:rsidR="002275DD">
        <w:rPr>
          <w:rFonts w:cs="Arial"/>
        </w:rPr>
        <w:t>Another issue to be addressed is that most studies, includin</w:t>
      </w:r>
      <w:r w:rsidR="00E06ECB">
        <w:rPr>
          <w:rFonts w:cs="Arial"/>
        </w:rPr>
        <w:t>g ours, have focused on student-</w:t>
      </w:r>
      <w:r w:rsidR="002275DD">
        <w:rPr>
          <w:rFonts w:cs="Arial"/>
        </w:rPr>
        <w:t xml:space="preserve">perceived gains. </w:t>
      </w:r>
      <w:r w:rsidR="00AA74B9">
        <w:rPr>
          <w:rFonts w:cs="Arial"/>
        </w:rPr>
        <w:t xml:space="preserve">As Linn </w:t>
      </w:r>
      <w:r w:rsidR="00E06ECB">
        <w:rPr>
          <w:rFonts w:cs="Arial"/>
          <w:i/>
        </w:rPr>
        <w:t xml:space="preserve">et al </w:t>
      </w:r>
      <w:r w:rsidR="00AA74B9">
        <w:rPr>
          <w:rFonts w:cs="Arial"/>
        </w:rPr>
        <w:lastRenderedPageBreak/>
        <w:t>(2015) has highlighted self- reporting is not the most reliable method for measuring gains and further research into the impact of  undergraduate research experiences on students learning and graduate outcomes is desirable.</w:t>
      </w:r>
    </w:p>
    <w:p w:rsidR="00DB24D4" w:rsidRPr="002275DD" w:rsidRDefault="004027C1" w:rsidP="00DB24D4">
      <w:pPr>
        <w:pStyle w:val="Heading2"/>
      </w:pPr>
      <w:r w:rsidRPr="002275DD">
        <w:t>References</w:t>
      </w:r>
    </w:p>
    <w:p w:rsidR="00C12D3E" w:rsidRPr="002275DD" w:rsidRDefault="00C12D3E" w:rsidP="00CE589C">
      <w:pPr>
        <w:autoSpaceDE w:val="0"/>
        <w:autoSpaceDN w:val="0"/>
        <w:adjustRightInd w:val="0"/>
        <w:rPr>
          <w:rStyle w:val="apple-converted-space"/>
          <w:rFonts w:cs="Arial"/>
          <w:color w:val="000000"/>
          <w:shd w:val="clear" w:color="auto" w:fill="FFFFFF"/>
        </w:rPr>
      </w:pPr>
      <w:r w:rsidRPr="002275DD">
        <w:rPr>
          <w:rStyle w:val="personname"/>
          <w:rFonts w:cs="Arial"/>
          <w:color w:val="000000"/>
          <w:shd w:val="clear" w:color="auto" w:fill="FFFFFF"/>
        </w:rPr>
        <w:t>Bennett, R.,</w:t>
      </w:r>
      <w:r w:rsidR="008D6B16" w:rsidRPr="002275DD">
        <w:rPr>
          <w:rFonts w:cs="Arial"/>
          <w:color w:val="000000"/>
          <w:shd w:val="clear" w:color="auto" w:fill="FFFFFF"/>
        </w:rPr>
        <w:t xml:space="preserve"> </w:t>
      </w:r>
      <w:r w:rsidRPr="002275DD">
        <w:rPr>
          <w:rStyle w:val="personname"/>
          <w:rFonts w:cs="Arial"/>
          <w:color w:val="000000"/>
          <w:shd w:val="clear" w:color="auto" w:fill="FFFFFF"/>
        </w:rPr>
        <w:t>Eagle</w:t>
      </w:r>
      <w:r w:rsidRPr="002275DD">
        <w:rPr>
          <w:rFonts w:cs="Arial"/>
          <w:color w:val="000000"/>
          <w:shd w:val="clear" w:color="auto" w:fill="FFFFFF"/>
        </w:rPr>
        <w:t>, L.</w:t>
      </w:r>
      <w:r w:rsidR="00CE589C" w:rsidRPr="002275DD">
        <w:rPr>
          <w:rFonts w:cs="Arial"/>
          <w:color w:val="000000"/>
          <w:shd w:val="clear" w:color="auto" w:fill="FFFFFF"/>
        </w:rPr>
        <w:t>,</w:t>
      </w:r>
      <w:r w:rsidRPr="002275DD">
        <w:rPr>
          <w:rStyle w:val="apple-converted-space"/>
          <w:rFonts w:cs="Arial"/>
          <w:color w:val="000000"/>
          <w:shd w:val="clear" w:color="auto" w:fill="FFFFFF"/>
        </w:rPr>
        <w:t xml:space="preserve">  </w:t>
      </w:r>
      <w:r w:rsidRPr="002275DD">
        <w:rPr>
          <w:rStyle w:val="personname"/>
          <w:rFonts w:cs="Arial"/>
          <w:color w:val="000000"/>
          <w:shd w:val="clear" w:color="auto" w:fill="FFFFFF"/>
        </w:rPr>
        <w:t>Mousley, W.</w:t>
      </w:r>
      <w:r w:rsidRPr="002275DD">
        <w:rPr>
          <w:rStyle w:val="apple-converted-space"/>
          <w:rFonts w:cs="Arial"/>
          <w:color w:val="000000"/>
          <w:shd w:val="clear" w:color="auto" w:fill="FFFFFF"/>
        </w:rPr>
        <w:t> </w:t>
      </w:r>
      <w:r w:rsidRPr="002275DD">
        <w:rPr>
          <w:rFonts w:cs="Arial"/>
          <w:color w:val="000000"/>
          <w:shd w:val="clear" w:color="auto" w:fill="FFFFFF"/>
        </w:rPr>
        <w:t>and</w:t>
      </w:r>
      <w:r w:rsidRPr="002275DD">
        <w:rPr>
          <w:rStyle w:val="apple-converted-space"/>
          <w:rFonts w:cs="Arial"/>
          <w:color w:val="000000"/>
          <w:shd w:val="clear" w:color="auto" w:fill="FFFFFF"/>
        </w:rPr>
        <w:t xml:space="preserve">  </w:t>
      </w:r>
      <w:r w:rsidRPr="002275DD">
        <w:rPr>
          <w:rStyle w:val="personname"/>
          <w:rFonts w:cs="Arial"/>
          <w:color w:val="000000"/>
          <w:shd w:val="clear" w:color="auto" w:fill="FFFFFF"/>
        </w:rPr>
        <w:t>Ali-Choudhury, R. (2008)</w:t>
      </w:r>
      <w:r w:rsidR="00CE589C" w:rsidRPr="002275DD">
        <w:rPr>
          <w:rFonts w:cs="Arial"/>
          <w:color w:val="000000"/>
          <w:shd w:val="clear" w:color="auto" w:fill="FFFFFF"/>
        </w:rPr>
        <w:t xml:space="preserve"> </w:t>
      </w:r>
      <w:r w:rsidRPr="002275DD">
        <w:rPr>
          <w:rFonts w:cs="Arial"/>
          <w:i/>
          <w:color w:val="000000"/>
          <w:shd w:val="clear" w:color="auto" w:fill="FFFFFF"/>
        </w:rPr>
        <w:t>Reassessing the value of work experience placements in the context of widening participation in higher education</w:t>
      </w:r>
      <w:r w:rsidR="00CE589C" w:rsidRPr="002275DD">
        <w:rPr>
          <w:rFonts w:cs="Arial"/>
          <w:color w:val="000000"/>
          <w:shd w:val="clear" w:color="auto" w:fill="FFFFFF"/>
        </w:rPr>
        <w:t>.</w:t>
      </w:r>
      <w:r w:rsidRPr="002275DD">
        <w:rPr>
          <w:rStyle w:val="apple-converted-space"/>
          <w:rFonts w:cs="Arial"/>
          <w:color w:val="000000"/>
          <w:shd w:val="clear" w:color="auto" w:fill="FFFFFF"/>
        </w:rPr>
        <w:t> </w:t>
      </w:r>
      <w:r w:rsidRPr="002275DD">
        <w:rPr>
          <w:rStyle w:val="Emphasis"/>
          <w:rFonts w:cs="Arial"/>
          <w:i w:val="0"/>
          <w:color w:val="000000"/>
          <w:shd w:val="clear" w:color="auto" w:fill="FFFFFF"/>
        </w:rPr>
        <w:t>Journal of Vocational Education &amp; Training</w:t>
      </w:r>
      <w:r w:rsidRPr="002275DD">
        <w:rPr>
          <w:rFonts w:cs="Arial"/>
          <w:color w:val="000000"/>
          <w:shd w:val="clear" w:color="auto" w:fill="FFFFFF"/>
        </w:rPr>
        <w:t>, 60 (2008): 105-122.</w:t>
      </w:r>
      <w:r w:rsidRPr="002275DD">
        <w:rPr>
          <w:rStyle w:val="apple-converted-space"/>
          <w:rFonts w:cs="Arial"/>
          <w:color w:val="000000"/>
          <w:shd w:val="clear" w:color="auto" w:fill="FFFFFF"/>
        </w:rPr>
        <w:t> </w:t>
      </w:r>
      <w:r w:rsidR="00665F04" w:rsidRPr="002275DD">
        <w:rPr>
          <w:rStyle w:val="apple-converted-space"/>
          <w:rFonts w:cs="Arial"/>
          <w:color w:val="000000"/>
          <w:shd w:val="clear" w:color="auto" w:fill="FFFFFF"/>
        </w:rPr>
        <w:t>DOI.:10.1080/13636820802042339</w:t>
      </w:r>
    </w:p>
    <w:p w:rsidR="00DB24D4" w:rsidRPr="002275DD" w:rsidRDefault="00CE589C" w:rsidP="00CE589C">
      <w:pPr>
        <w:rPr>
          <w:rStyle w:val="A2"/>
          <w:rFonts w:cs="Arial"/>
          <w:sz w:val="22"/>
          <w:szCs w:val="22"/>
        </w:rPr>
      </w:pPr>
      <w:r w:rsidRPr="002275DD">
        <w:rPr>
          <w:rStyle w:val="A2"/>
          <w:rFonts w:cs="Arial"/>
          <w:sz w:val="22"/>
          <w:szCs w:val="22"/>
        </w:rPr>
        <w:t>Hunter, A-B., Laursen, S.L.</w:t>
      </w:r>
      <w:proofErr w:type="gramStart"/>
      <w:r w:rsidRPr="002275DD">
        <w:rPr>
          <w:rStyle w:val="A2"/>
          <w:rFonts w:cs="Arial"/>
          <w:sz w:val="22"/>
          <w:szCs w:val="22"/>
        </w:rPr>
        <w:t>,  and</w:t>
      </w:r>
      <w:proofErr w:type="gramEnd"/>
      <w:r w:rsidRPr="002275DD">
        <w:rPr>
          <w:rStyle w:val="A2"/>
          <w:rFonts w:cs="Arial"/>
          <w:sz w:val="22"/>
          <w:szCs w:val="22"/>
        </w:rPr>
        <w:t xml:space="preserve"> Seymour, E. (2007) </w:t>
      </w:r>
      <w:r w:rsidR="00DB24D4" w:rsidRPr="002275DD">
        <w:rPr>
          <w:rStyle w:val="A2"/>
          <w:rFonts w:cs="Arial"/>
          <w:i/>
          <w:sz w:val="22"/>
          <w:szCs w:val="22"/>
        </w:rPr>
        <w:t>Becoming a scientist: The role of undergraduate research in students’ cognitive, personal, and professional development</w:t>
      </w:r>
      <w:r w:rsidRPr="002275DD">
        <w:rPr>
          <w:rStyle w:val="A2"/>
          <w:rFonts w:cs="Arial"/>
          <w:sz w:val="22"/>
          <w:szCs w:val="22"/>
        </w:rPr>
        <w:t>.</w:t>
      </w:r>
      <w:r w:rsidR="00DB24D4" w:rsidRPr="002275DD">
        <w:rPr>
          <w:rStyle w:val="A2"/>
          <w:rFonts w:cs="Arial"/>
          <w:sz w:val="22"/>
          <w:szCs w:val="22"/>
        </w:rPr>
        <w:t xml:space="preserve"> Science Education, 91: 36-74.</w:t>
      </w:r>
      <w:r w:rsidR="00665F04" w:rsidRPr="002275DD">
        <w:rPr>
          <w:rStyle w:val="A2"/>
          <w:rFonts w:cs="Arial"/>
          <w:sz w:val="22"/>
          <w:szCs w:val="22"/>
        </w:rPr>
        <w:t xml:space="preserve"> </w:t>
      </w:r>
      <w:r w:rsidR="00665F04" w:rsidRPr="002275DD">
        <w:rPr>
          <w:rStyle w:val="article-headermeta-info-label"/>
          <w:rFonts w:cs="Arial"/>
          <w:bCs/>
          <w:color w:val="333333"/>
          <w:bdr w:val="none" w:sz="0" w:space="0" w:color="auto" w:frame="1"/>
          <w:shd w:val="clear" w:color="auto" w:fill="FFFFFF"/>
        </w:rPr>
        <w:t>DOI:</w:t>
      </w:r>
      <w:r w:rsidR="00665F04" w:rsidRPr="002275DD">
        <w:rPr>
          <w:rStyle w:val="apple-converted-space"/>
          <w:rFonts w:cs="Arial"/>
          <w:b/>
          <w:bCs/>
          <w:color w:val="333333"/>
          <w:bdr w:val="none" w:sz="0" w:space="0" w:color="auto" w:frame="1"/>
          <w:shd w:val="clear" w:color="auto" w:fill="FFFFFF"/>
        </w:rPr>
        <w:t> </w:t>
      </w:r>
      <w:r w:rsidR="00665F04" w:rsidRPr="002275DD">
        <w:rPr>
          <w:rStyle w:val="article-headermeta-info-data"/>
          <w:rFonts w:cs="Arial"/>
          <w:color w:val="333333"/>
          <w:bdr w:val="none" w:sz="0" w:space="0" w:color="auto" w:frame="1"/>
          <w:shd w:val="clear" w:color="auto" w:fill="FFFFFF"/>
        </w:rPr>
        <w:t>10.1002/sce.20173</w:t>
      </w:r>
    </w:p>
    <w:p w:rsidR="005C7B01" w:rsidRPr="002275DD" w:rsidRDefault="00DB24D4" w:rsidP="005C7B01">
      <w:pPr>
        <w:autoSpaceDE w:val="0"/>
        <w:autoSpaceDN w:val="0"/>
        <w:adjustRightInd w:val="0"/>
        <w:jc w:val="both"/>
        <w:rPr>
          <w:rFonts w:cs="Arial"/>
        </w:rPr>
      </w:pPr>
      <w:r w:rsidRPr="002275DD">
        <w:rPr>
          <w:rFonts w:cs="Arial"/>
        </w:rPr>
        <w:t xml:space="preserve">Hunter, A-B., Weston, T.J., Laursen, S.L. and Thiry, H. (2008) </w:t>
      </w:r>
      <w:r w:rsidRPr="002275DD">
        <w:rPr>
          <w:rFonts w:cs="Arial"/>
          <w:i/>
        </w:rPr>
        <w:t>URSSA: evaluating student gains from undergr</w:t>
      </w:r>
      <w:r w:rsidR="00CE589C" w:rsidRPr="002275DD">
        <w:rPr>
          <w:rFonts w:cs="Arial"/>
          <w:i/>
        </w:rPr>
        <w:t>aduate research in the sciences.</w:t>
      </w:r>
      <w:r w:rsidRPr="002275DD">
        <w:rPr>
          <w:rFonts w:cs="Arial"/>
        </w:rPr>
        <w:t xml:space="preserve"> Council on </w:t>
      </w:r>
      <w:r w:rsidRPr="002275DD">
        <w:rPr>
          <w:rFonts w:cs="Arial"/>
        </w:rPr>
        <w:lastRenderedPageBreak/>
        <w:t>Undergraduate Research Quarterly</w:t>
      </w:r>
      <w:proofErr w:type="gramStart"/>
      <w:r w:rsidRPr="002275DD">
        <w:rPr>
          <w:rFonts w:cs="Arial"/>
        </w:rPr>
        <w:t>,  29</w:t>
      </w:r>
      <w:proofErr w:type="gramEnd"/>
      <w:r w:rsidRPr="002275DD">
        <w:rPr>
          <w:rFonts w:cs="Arial"/>
        </w:rPr>
        <w:t>: 15–19.</w:t>
      </w:r>
      <w:r w:rsidR="005C7B01">
        <w:rPr>
          <w:rFonts w:cs="Arial"/>
        </w:rPr>
        <w:t xml:space="preserve"> Available from </w:t>
      </w:r>
      <w:hyperlink r:id="rId12" w:history="1">
        <w:r w:rsidR="005C7B01" w:rsidRPr="0039797E">
          <w:rPr>
            <w:rStyle w:val="Hyperlink"/>
            <w:rFonts w:cs="Arial"/>
          </w:rPr>
          <w:t>http://www.cur.org/publications/cur_quarterly_index_online_search/?F_Sort=PostDate&amp;SearchBy=Subject&amp;SearchField=Undergraduate&amp;Boolean=PHRASE&amp;SortOrder=DESC</w:t>
        </w:r>
      </w:hyperlink>
      <w:r w:rsidR="005C7B01">
        <w:rPr>
          <w:rFonts w:cs="Arial"/>
        </w:rPr>
        <w:t xml:space="preserve"> </w:t>
      </w:r>
      <w:r w:rsidR="005C7B01" w:rsidRPr="002275DD">
        <w:rPr>
          <w:rFonts w:cs="Arial"/>
        </w:rPr>
        <w:t>Accessed: 9</w:t>
      </w:r>
      <w:r w:rsidR="005C7B01" w:rsidRPr="002275DD">
        <w:rPr>
          <w:rFonts w:cs="Arial"/>
          <w:vertAlign w:val="superscript"/>
        </w:rPr>
        <w:t>th</w:t>
      </w:r>
      <w:r w:rsidR="005C7B01">
        <w:rPr>
          <w:rFonts w:cs="Arial"/>
        </w:rPr>
        <w:t xml:space="preserve"> September 2016</w:t>
      </w:r>
      <w:r w:rsidR="005C7B01" w:rsidRPr="002275DD">
        <w:rPr>
          <w:rFonts w:cs="Arial"/>
        </w:rPr>
        <w:t>]</w:t>
      </w:r>
    </w:p>
    <w:p w:rsidR="00DB24D4" w:rsidRPr="002275DD" w:rsidRDefault="00DB24D4" w:rsidP="00C12D3E">
      <w:pPr>
        <w:autoSpaceDE w:val="0"/>
        <w:autoSpaceDN w:val="0"/>
        <w:adjustRightInd w:val="0"/>
        <w:jc w:val="both"/>
        <w:rPr>
          <w:rFonts w:cs="Arial"/>
        </w:rPr>
      </w:pPr>
      <w:r w:rsidRPr="002275DD">
        <w:rPr>
          <w:rFonts w:cs="Arial"/>
        </w:rPr>
        <w:t>Jenkins A. and Healy M. (2009</w:t>
      </w:r>
      <w:proofErr w:type="gramStart"/>
      <w:r w:rsidRPr="002275DD">
        <w:rPr>
          <w:rFonts w:cs="Arial"/>
        </w:rPr>
        <w:t>) ,</w:t>
      </w:r>
      <w:proofErr w:type="gramEnd"/>
      <w:r w:rsidRPr="002275DD">
        <w:rPr>
          <w:rFonts w:cs="Arial"/>
        </w:rPr>
        <w:t xml:space="preserve"> Developing undergraduate research and inquiry, York: The Higher Education Academy [Online] June 2009. Available from </w:t>
      </w:r>
      <w:hyperlink r:id="rId13" w:history="1">
        <w:r w:rsidRPr="002275DD">
          <w:rPr>
            <w:rStyle w:val="Hyperlink"/>
            <w:rFonts w:cs="Arial"/>
          </w:rPr>
          <w:t>https://www.heacademy.ac.uk/sites/default/files/developingundergraduate_final.pdf</w:t>
        </w:r>
      </w:hyperlink>
      <w:r w:rsidRPr="002275DD">
        <w:rPr>
          <w:rFonts w:cs="Arial"/>
        </w:rPr>
        <w:t xml:space="preserve"> [Accessed: 9</w:t>
      </w:r>
      <w:r w:rsidRPr="002275DD">
        <w:rPr>
          <w:rFonts w:cs="Arial"/>
          <w:vertAlign w:val="superscript"/>
        </w:rPr>
        <w:t>th</w:t>
      </w:r>
      <w:r w:rsidRPr="002275DD">
        <w:rPr>
          <w:rFonts w:cs="Arial"/>
        </w:rPr>
        <w:t xml:space="preserve"> November 2015]</w:t>
      </w:r>
    </w:p>
    <w:p w:rsidR="00DB24D4" w:rsidRPr="009328BB" w:rsidRDefault="00DB24D4" w:rsidP="00C12D3E">
      <w:pPr>
        <w:jc w:val="both"/>
        <w:rPr>
          <w:rFonts w:cs="Arial"/>
        </w:rPr>
      </w:pPr>
      <w:r w:rsidRPr="002275DD">
        <w:rPr>
          <w:rFonts w:cs="Arial"/>
        </w:rPr>
        <w:t>John, J.</w:t>
      </w:r>
      <w:r w:rsidR="00CE589C" w:rsidRPr="002275DD">
        <w:rPr>
          <w:rFonts w:cs="Arial"/>
        </w:rPr>
        <w:t xml:space="preserve"> and</w:t>
      </w:r>
      <w:r w:rsidRPr="002275DD">
        <w:rPr>
          <w:rFonts w:cs="Arial"/>
        </w:rPr>
        <w:t xml:space="preserve"> Creighton, J.  (2011) </w:t>
      </w:r>
      <w:r w:rsidRPr="002275DD">
        <w:rPr>
          <w:rFonts w:cs="Arial"/>
          <w:i/>
        </w:rPr>
        <w:t>Researcher development: the impact of undergraduate research opportunity programmes on students in the UK</w:t>
      </w:r>
      <w:r w:rsidR="00CE589C" w:rsidRPr="002275DD">
        <w:rPr>
          <w:rFonts w:cs="Arial"/>
        </w:rPr>
        <w:t>.</w:t>
      </w:r>
      <w:r w:rsidRPr="002275DD">
        <w:rPr>
          <w:rFonts w:cs="Arial"/>
        </w:rPr>
        <w:t xml:space="preserve"> Studies in Higher Education, 36(7), 781-797.</w:t>
      </w:r>
      <w:r w:rsidR="00433063" w:rsidRPr="002275DD">
        <w:rPr>
          <w:rFonts w:cs="Arial"/>
        </w:rPr>
        <w:t xml:space="preserve"> </w:t>
      </w:r>
      <w:r w:rsidR="00433063" w:rsidRPr="009328BB">
        <w:rPr>
          <w:rFonts w:cs="Arial"/>
          <w:shd w:val="clear" w:color="auto" w:fill="FFFFFF"/>
        </w:rPr>
        <w:t>DOI:</w:t>
      </w:r>
      <w:r w:rsidR="00433063" w:rsidRPr="009328BB">
        <w:rPr>
          <w:rStyle w:val="apple-converted-space"/>
          <w:rFonts w:cs="Arial"/>
          <w:shd w:val="clear" w:color="auto" w:fill="FFFFFF"/>
        </w:rPr>
        <w:t> </w:t>
      </w:r>
      <w:hyperlink r:id="rId14" w:history="1">
        <w:r w:rsidR="00433063" w:rsidRPr="009328BB">
          <w:rPr>
            <w:rStyle w:val="Hyperlink"/>
            <w:rFonts w:cs="Arial"/>
            <w:color w:val="auto"/>
            <w:u w:val="none"/>
            <w:shd w:val="clear" w:color="auto" w:fill="FFFFFF"/>
          </w:rPr>
          <w:t>10.1080/03075071003777708</w:t>
        </w:r>
      </w:hyperlink>
    </w:p>
    <w:p w:rsidR="00066C1E" w:rsidRPr="002275DD" w:rsidRDefault="00066C1E" w:rsidP="00066C1E">
      <w:pPr>
        <w:autoSpaceDE w:val="0"/>
        <w:autoSpaceDN w:val="0"/>
        <w:adjustRightInd w:val="0"/>
        <w:jc w:val="both"/>
        <w:rPr>
          <w:rFonts w:cs="Arial"/>
          <w:sz w:val="24"/>
          <w:szCs w:val="24"/>
          <w:shd w:val="clear" w:color="auto" w:fill="FFFFFF"/>
        </w:rPr>
      </w:pPr>
      <w:r w:rsidRPr="002275DD">
        <w:t xml:space="preserve">EPRSC (2016)   [online] Available from </w:t>
      </w:r>
      <w:hyperlink r:id="rId15" w:history="1">
        <w:r w:rsidRPr="002275DD">
          <w:rPr>
            <w:rStyle w:val="Hyperlink"/>
          </w:rPr>
          <w:t>https://www.epsrc.ac.uk/skills/students/dta/vacationbursaries/</w:t>
        </w:r>
      </w:hyperlink>
      <w:r w:rsidRPr="002275DD">
        <w:t xml:space="preserve"> </w:t>
      </w:r>
      <w:r w:rsidRPr="002275DD">
        <w:rPr>
          <w:rFonts w:cs="Arial"/>
        </w:rPr>
        <w:t>[Accessed: 29</w:t>
      </w:r>
      <w:r w:rsidRPr="002275DD">
        <w:rPr>
          <w:rFonts w:cs="Arial"/>
          <w:vertAlign w:val="superscript"/>
        </w:rPr>
        <w:t>th</w:t>
      </w:r>
      <w:r w:rsidRPr="002275DD">
        <w:rPr>
          <w:rFonts w:cs="Arial"/>
        </w:rPr>
        <w:t xml:space="preserve"> September 2016]</w:t>
      </w:r>
    </w:p>
    <w:p w:rsidR="00DB24D4" w:rsidRPr="002275DD" w:rsidRDefault="00DB24D4" w:rsidP="00C12D3E">
      <w:pPr>
        <w:jc w:val="both"/>
        <w:rPr>
          <w:rFonts w:cs="Arial"/>
        </w:rPr>
      </w:pPr>
      <w:r w:rsidRPr="002275DD">
        <w:rPr>
          <w:rFonts w:cs="Arial"/>
        </w:rPr>
        <w:lastRenderedPageBreak/>
        <w:t xml:space="preserve">Kardash, C.A.M. (2000) </w:t>
      </w:r>
      <w:r w:rsidRPr="002275DD">
        <w:rPr>
          <w:rFonts w:cs="Arial"/>
          <w:i/>
        </w:rPr>
        <w:t>Evaluation of an undergraduate research experience: Perceptions of undergraduate interns and their faculty mentors</w:t>
      </w:r>
      <w:r w:rsidR="00CE589C" w:rsidRPr="002275DD">
        <w:rPr>
          <w:rFonts w:cs="Arial"/>
        </w:rPr>
        <w:t>.</w:t>
      </w:r>
      <w:r w:rsidRPr="002275DD">
        <w:rPr>
          <w:rFonts w:cs="Arial"/>
        </w:rPr>
        <w:t xml:space="preserve"> Journal of Educational Psychology, 92, 191–201.</w:t>
      </w:r>
      <w:r w:rsidR="00D614A3" w:rsidRPr="002275DD">
        <w:rPr>
          <w:rFonts w:cs="Arial"/>
        </w:rPr>
        <w:t xml:space="preserve"> </w:t>
      </w:r>
      <w:r w:rsidR="00D614A3" w:rsidRPr="002275DD">
        <w:t>DOI: 10.1037//0022-0663.92.1.191</w:t>
      </w:r>
    </w:p>
    <w:p w:rsidR="00E61C04" w:rsidRPr="002275DD" w:rsidRDefault="00E61C04" w:rsidP="00C12D3E">
      <w:pPr>
        <w:jc w:val="both"/>
        <w:rPr>
          <w:rStyle w:val="apple-converted-space"/>
          <w:rFonts w:cs="Arial"/>
          <w:b/>
          <w:shd w:val="clear" w:color="auto" w:fill="FFFFFF"/>
        </w:rPr>
      </w:pPr>
      <w:r w:rsidRPr="002275DD">
        <w:rPr>
          <w:rFonts w:cs="Arial"/>
          <w:color w:val="222222"/>
          <w:shd w:val="clear" w:color="auto" w:fill="FFFFFF"/>
        </w:rPr>
        <w:t xml:space="preserve">Linn, M.C., Palmer, E., </w:t>
      </w:r>
      <w:proofErr w:type="spellStart"/>
      <w:r w:rsidRPr="002275DD">
        <w:rPr>
          <w:rFonts w:cs="Arial"/>
          <w:color w:val="222222"/>
          <w:shd w:val="clear" w:color="auto" w:fill="FFFFFF"/>
        </w:rPr>
        <w:t>Baranger</w:t>
      </w:r>
      <w:proofErr w:type="spellEnd"/>
      <w:r w:rsidRPr="002275DD">
        <w:rPr>
          <w:rFonts w:cs="Arial"/>
          <w:color w:val="222222"/>
          <w:shd w:val="clear" w:color="auto" w:fill="FFFFFF"/>
        </w:rPr>
        <w:t xml:space="preserve">, A., Gerard, E. and Stone, E., (2015). </w:t>
      </w:r>
      <w:r w:rsidRPr="002275DD">
        <w:rPr>
          <w:rFonts w:cs="Arial"/>
          <w:i/>
          <w:color w:val="222222"/>
          <w:shd w:val="clear" w:color="auto" w:fill="FFFFFF"/>
        </w:rPr>
        <w:t>Undergraduate research experiences: Impacts and opportunities</w:t>
      </w:r>
      <w:r w:rsidRPr="002275DD">
        <w:rPr>
          <w:rFonts w:cs="Arial"/>
          <w:color w:val="222222"/>
          <w:shd w:val="clear" w:color="auto" w:fill="FFFFFF"/>
        </w:rPr>
        <w:t>.</w:t>
      </w:r>
      <w:r w:rsidRPr="002275DD">
        <w:rPr>
          <w:rStyle w:val="apple-converted-space"/>
          <w:rFonts w:cs="Arial"/>
          <w:color w:val="222222"/>
          <w:shd w:val="clear" w:color="auto" w:fill="FFFFFF"/>
        </w:rPr>
        <w:t> </w:t>
      </w:r>
      <w:proofErr w:type="gramStart"/>
      <w:r w:rsidRPr="002275DD">
        <w:rPr>
          <w:rFonts w:cs="Arial"/>
          <w:iCs/>
          <w:color w:val="222222"/>
          <w:shd w:val="clear" w:color="auto" w:fill="FFFFFF"/>
        </w:rPr>
        <w:t>Science</w:t>
      </w:r>
      <w:r w:rsidRPr="002275DD">
        <w:rPr>
          <w:rFonts w:cs="Arial"/>
          <w:color w:val="222222"/>
          <w:shd w:val="clear" w:color="auto" w:fill="FFFFFF"/>
        </w:rPr>
        <w:t xml:space="preserve">, </w:t>
      </w:r>
      <w:r w:rsidRPr="002275DD">
        <w:rPr>
          <w:rFonts w:cs="Arial"/>
          <w:iCs/>
          <w:color w:val="222222"/>
          <w:shd w:val="clear" w:color="auto" w:fill="FFFFFF"/>
        </w:rPr>
        <w:t>347,</w:t>
      </w:r>
      <w:r w:rsidRPr="002275DD">
        <w:rPr>
          <w:rFonts w:cs="Arial"/>
          <w:i/>
          <w:iCs/>
          <w:color w:val="222222"/>
          <w:shd w:val="clear" w:color="auto" w:fill="FFFFFF"/>
        </w:rPr>
        <w:t xml:space="preserve"> </w:t>
      </w:r>
      <w:r w:rsidRPr="002275DD">
        <w:rPr>
          <w:rFonts w:cs="Arial"/>
          <w:color w:val="222222"/>
          <w:shd w:val="clear" w:color="auto" w:fill="FFFFFF"/>
        </w:rPr>
        <w:t>(6222), 1261757.</w:t>
      </w:r>
      <w:proofErr w:type="gramEnd"/>
      <w:r w:rsidRPr="002275DD">
        <w:rPr>
          <w:rFonts w:cs="Arial"/>
          <w:color w:val="222222"/>
          <w:shd w:val="clear" w:color="auto" w:fill="FFFFFF"/>
        </w:rPr>
        <w:t xml:space="preserve"> </w:t>
      </w:r>
      <w:r w:rsidRPr="002275DD">
        <w:rPr>
          <w:rFonts w:cs="Arial"/>
          <w:shd w:val="clear" w:color="auto" w:fill="FFFFFF"/>
        </w:rPr>
        <w:t>DOI: 10.1126/science.1261757</w:t>
      </w:r>
    </w:p>
    <w:p w:rsidR="00DB24D4" w:rsidRPr="002275DD" w:rsidRDefault="00DB24D4" w:rsidP="00C12D3E">
      <w:pPr>
        <w:autoSpaceDE w:val="0"/>
        <w:autoSpaceDN w:val="0"/>
        <w:adjustRightInd w:val="0"/>
        <w:jc w:val="both"/>
        <w:rPr>
          <w:rFonts w:cs="Arial"/>
        </w:rPr>
      </w:pPr>
      <w:r w:rsidRPr="002275DD">
        <w:rPr>
          <w:rFonts w:cs="Arial"/>
        </w:rPr>
        <w:t xml:space="preserve">Lopatto, D. (2004). </w:t>
      </w:r>
      <w:proofErr w:type="gramStart"/>
      <w:r w:rsidRPr="002275DD">
        <w:rPr>
          <w:rFonts w:cs="Arial"/>
          <w:i/>
        </w:rPr>
        <w:t>Survey of Undergraduate Research Experiences (SURE): first findings.</w:t>
      </w:r>
      <w:proofErr w:type="gramEnd"/>
      <w:r w:rsidRPr="002275DD">
        <w:rPr>
          <w:rFonts w:cs="Arial"/>
        </w:rPr>
        <w:t xml:space="preserve"> Cell </w:t>
      </w:r>
      <w:proofErr w:type="gramStart"/>
      <w:r w:rsidRPr="002275DD">
        <w:rPr>
          <w:rFonts w:cs="Arial"/>
        </w:rPr>
        <w:t>Biology  Education</w:t>
      </w:r>
      <w:proofErr w:type="gramEnd"/>
      <w:r w:rsidRPr="002275DD">
        <w:rPr>
          <w:rFonts w:cs="Arial"/>
        </w:rPr>
        <w:t xml:space="preserve"> 3, 270 –277.</w:t>
      </w:r>
      <w:r w:rsidR="00D614A3" w:rsidRPr="002275DD">
        <w:rPr>
          <w:rFonts w:cs="Arial"/>
        </w:rPr>
        <w:t xml:space="preserve">  </w:t>
      </w:r>
      <w:r w:rsidR="00D614A3" w:rsidRPr="002275DD">
        <w:rPr>
          <w:rFonts w:cs="Arial"/>
          <w:bCs/>
          <w:color w:val="333300"/>
          <w:shd w:val="clear" w:color="auto" w:fill="FFFFFF"/>
        </w:rPr>
        <w:t>DOI:</w:t>
      </w:r>
      <w:r w:rsidR="00D614A3" w:rsidRPr="002275DD">
        <w:rPr>
          <w:rStyle w:val="apple-converted-space"/>
          <w:rFonts w:cs="Arial"/>
          <w:bCs/>
          <w:color w:val="333300"/>
          <w:shd w:val="clear" w:color="auto" w:fill="FFFFFF"/>
        </w:rPr>
        <w:t> </w:t>
      </w:r>
      <w:r w:rsidR="00D614A3" w:rsidRPr="002275DD">
        <w:rPr>
          <w:rStyle w:val="slug-doi"/>
          <w:rFonts w:cs="Arial"/>
          <w:bCs/>
          <w:color w:val="333300"/>
          <w:bdr w:val="none" w:sz="0" w:space="0" w:color="auto" w:frame="1"/>
          <w:shd w:val="clear" w:color="auto" w:fill="FFFFFF"/>
        </w:rPr>
        <w:t>10.1187/cbe.04-07-0045</w:t>
      </w:r>
    </w:p>
    <w:p w:rsidR="00DB24D4" w:rsidRPr="002275DD" w:rsidRDefault="00DB24D4" w:rsidP="00C12D3E">
      <w:pPr>
        <w:jc w:val="both"/>
        <w:rPr>
          <w:rFonts w:cs="Arial"/>
        </w:rPr>
      </w:pPr>
      <w:r w:rsidRPr="002275DD">
        <w:rPr>
          <w:rFonts w:cs="Arial"/>
        </w:rPr>
        <w:t xml:space="preserve">Lopatto, D. (2007). </w:t>
      </w:r>
      <w:r w:rsidRPr="002275DD">
        <w:rPr>
          <w:rFonts w:cs="Arial"/>
          <w:i/>
        </w:rPr>
        <w:t>Undergraduate Research Experiences Support Science Career Decisions and Active Learning,</w:t>
      </w:r>
      <w:r w:rsidRPr="002275DD">
        <w:rPr>
          <w:rFonts w:cs="Arial"/>
        </w:rPr>
        <w:t xml:space="preserve"> Cel</w:t>
      </w:r>
      <w:r w:rsidR="00D614A3" w:rsidRPr="002275DD">
        <w:rPr>
          <w:rFonts w:cs="Arial"/>
        </w:rPr>
        <w:t xml:space="preserve">l </w:t>
      </w:r>
      <w:proofErr w:type="gramStart"/>
      <w:r w:rsidR="00D614A3" w:rsidRPr="002275DD">
        <w:rPr>
          <w:rFonts w:cs="Arial"/>
        </w:rPr>
        <w:t>Biology  Education</w:t>
      </w:r>
      <w:proofErr w:type="gramEnd"/>
      <w:r w:rsidR="00D614A3" w:rsidRPr="002275DD">
        <w:rPr>
          <w:rFonts w:cs="Arial"/>
        </w:rPr>
        <w:t xml:space="preserve"> 6, 297–306. </w:t>
      </w:r>
      <w:r w:rsidR="00D614A3" w:rsidRPr="002275DD">
        <w:rPr>
          <w:rFonts w:cs="Arial"/>
          <w:bCs/>
          <w:color w:val="333300"/>
          <w:shd w:val="clear" w:color="auto" w:fill="FFFFFF"/>
        </w:rPr>
        <w:t>DOI:</w:t>
      </w:r>
      <w:r w:rsidR="00D614A3" w:rsidRPr="002275DD">
        <w:rPr>
          <w:rStyle w:val="apple-converted-space"/>
          <w:rFonts w:cs="Arial"/>
          <w:bCs/>
          <w:color w:val="333300"/>
          <w:shd w:val="clear" w:color="auto" w:fill="FFFFFF"/>
        </w:rPr>
        <w:t> </w:t>
      </w:r>
      <w:r w:rsidR="00D614A3" w:rsidRPr="002275DD">
        <w:rPr>
          <w:rStyle w:val="slug-doi"/>
          <w:rFonts w:cs="Arial"/>
          <w:bCs/>
          <w:color w:val="333300"/>
          <w:bdr w:val="none" w:sz="0" w:space="0" w:color="auto" w:frame="1"/>
          <w:shd w:val="clear" w:color="auto" w:fill="FFFFFF"/>
        </w:rPr>
        <w:t>10.1187/cbe.07-06-0039</w:t>
      </w:r>
    </w:p>
    <w:p w:rsidR="00C12D3E" w:rsidRPr="002275DD" w:rsidRDefault="00C12D3E" w:rsidP="00C12D3E">
      <w:pPr>
        <w:tabs>
          <w:tab w:val="left" w:pos="3120"/>
        </w:tabs>
        <w:rPr>
          <w:rFonts w:cs="Arial"/>
        </w:rPr>
      </w:pPr>
      <w:proofErr w:type="gramStart"/>
      <w:r w:rsidRPr="002275DD">
        <w:rPr>
          <w:rFonts w:cs="Arial"/>
        </w:rPr>
        <w:t>Moore, J., Sanders, J. and Higham, L. (2013) Literature review of research into widening participation to higher education.</w:t>
      </w:r>
      <w:proofErr w:type="gramEnd"/>
      <w:r w:rsidRPr="002275DD">
        <w:rPr>
          <w:rFonts w:cs="Arial"/>
        </w:rPr>
        <w:t xml:space="preserve"> Bristol: HEFCE </w:t>
      </w:r>
      <w:r w:rsidRPr="002275DD">
        <w:rPr>
          <w:rFonts w:cs="Arial"/>
          <w:color w:val="222222"/>
          <w:shd w:val="clear" w:color="auto" w:fill="FFFFFF"/>
        </w:rPr>
        <w:t xml:space="preserve">Available from </w:t>
      </w:r>
      <w:hyperlink r:id="rId16" w:history="1">
        <w:r w:rsidRPr="002275DD">
          <w:rPr>
            <w:rStyle w:val="Hyperlink"/>
            <w:rFonts w:cs="Arial"/>
            <w:shd w:val="clear" w:color="auto" w:fill="FFFFFF"/>
          </w:rPr>
          <w:t>https://www.offa.org.uk/wp-content/uploads/2013/08/Literature-review-of-research-into-WP-to-HE.pdf</w:t>
        </w:r>
      </w:hyperlink>
      <w:r w:rsidRPr="002275DD">
        <w:rPr>
          <w:rFonts w:cs="Arial"/>
          <w:color w:val="222222"/>
          <w:shd w:val="clear" w:color="auto" w:fill="FFFFFF"/>
        </w:rPr>
        <w:t xml:space="preserve"> </w:t>
      </w:r>
      <w:r w:rsidRPr="002275DD">
        <w:rPr>
          <w:rFonts w:cs="Arial"/>
        </w:rPr>
        <w:t>Accessed: 14</w:t>
      </w:r>
      <w:r w:rsidRPr="002275DD">
        <w:rPr>
          <w:rFonts w:cs="Arial"/>
          <w:vertAlign w:val="superscript"/>
        </w:rPr>
        <w:t>th</w:t>
      </w:r>
      <w:r w:rsidRPr="002275DD">
        <w:rPr>
          <w:rFonts w:cs="Arial"/>
        </w:rPr>
        <w:t xml:space="preserve"> April 2016</w:t>
      </w:r>
    </w:p>
    <w:p w:rsidR="00C12D3E" w:rsidRPr="002275DD" w:rsidRDefault="00C12D3E" w:rsidP="00C12D3E">
      <w:pPr>
        <w:jc w:val="both"/>
        <w:rPr>
          <w:rFonts w:cs="Arial"/>
        </w:rPr>
      </w:pPr>
      <w:r w:rsidRPr="002275DD">
        <w:rPr>
          <w:rFonts w:cs="Arial"/>
        </w:rPr>
        <w:t>Pennington, M.</w:t>
      </w:r>
      <w:proofErr w:type="gramStart"/>
      <w:r w:rsidRPr="002275DD">
        <w:rPr>
          <w:rFonts w:cs="Arial"/>
        </w:rPr>
        <w:t>,  Mosley</w:t>
      </w:r>
      <w:proofErr w:type="gramEnd"/>
      <w:r w:rsidRPr="002275DD">
        <w:rPr>
          <w:rFonts w:cs="Arial"/>
        </w:rPr>
        <w:t xml:space="preserve">, E.  </w:t>
      </w:r>
      <w:proofErr w:type="gramStart"/>
      <w:r w:rsidRPr="002275DD">
        <w:rPr>
          <w:rFonts w:cs="Arial"/>
        </w:rPr>
        <w:t>and</w:t>
      </w:r>
      <w:proofErr w:type="gramEnd"/>
      <w:r w:rsidRPr="002275DD">
        <w:rPr>
          <w:rFonts w:cs="Arial"/>
        </w:rPr>
        <w:t xml:space="preserve"> Sinclair, R. (2013) AGCAS/AGR Graduate Success Project: an investigation of graduate transitions, social mobility and the HEAR. Sheffield: AGCAS. </w:t>
      </w:r>
      <w:proofErr w:type="gramStart"/>
      <w:r w:rsidRPr="002275DD">
        <w:rPr>
          <w:rFonts w:cs="Arial"/>
        </w:rPr>
        <w:t xml:space="preserve">Available from </w:t>
      </w:r>
      <w:hyperlink r:id="rId17" w:history="1">
        <w:r w:rsidRPr="002275DD">
          <w:rPr>
            <w:rStyle w:val="Hyperlink"/>
            <w:rFonts w:cs="Arial"/>
          </w:rPr>
          <w:t>http://www.agcas.org.uk/assets/download?file=3960&amp;parent=1519</w:t>
        </w:r>
      </w:hyperlink>
      <w:r w:rsidRPr="002275DD">
        <w:rPr>
          <w:rFonts w:cs="Arial"/>
        </w:rPr>
        <w:t>.</w:t>
      </w:r>
      <w:proofErr w:type="gramEnd"/>
      <w:r w:rsidRPr="002275DD">
        <w:rPr>
          <w:rFonts w:cs="Arial"/>
        </w:rPr>
        <w:t xml:space="preserve"> Accessed May 5 2016</w:t>
      </w:r>
    </w:p>
    <w:p w:rsidR="00C12D3E" w:rsidRPr="002275DD" w:rsidRDefault="00DD5C5B" w:rsidP="00C12D3E">
      <w:pPr>
        <w:autoSpaceDE w:val="0"/>
        <w:autoSpaceDN w:val="0"/>
        <w:adjustRightInd w:val="0"/>
        <w:jc w:val="both"/>
        <w:rPr>
          <w:rFonts w:cs="Arial"/>
          <w:sz w:val="24"/>
          <w:szCs w:val="24"/>
          <w:shd w:val="clear" w:color="auto" w:fill="FFFFFF"/>
        </w:rPr>
      </w:pPr>
      <w:r w:rsidRPr="002275DD">
        <w:t>RSC (2016)</w:t>
      </w:r>
      <w:r w:rsidR="00665F04" w:rsidRPr="002275DD">
        <w:t xml:space="preserve"> [online] available from</w:t>
      </w:r>
      <w:r w:rsidRPr="002275DD">
        <w:t xml:space="preserve"> </w:t>
      </w:r>
      <w:hyperlink r:id="rId18" w:history="1">
        <w:r w:rsidRPr="002275DD">
          <w:rPr>
            <w:rStyle w:val="Hyperlink"/>
            <w:rFonts w:cs="Arial"/>
            <w:bCs/>
          </w:rPr>
          <w:t>https://rsc-research.fluidreview.com/</w:t>
        </w:r>
      </w:hyperlink>
      <w:r w:rsidRPr="002275DD">
        <w:rPr>
          <w:rFonts w:cs="Arial"/>
          <w:bCs/>
        </w:rPr>
        <w:t>,</w:t>
      </w:r>
      <w:r w:rsidR="00665F04" w:rsidRPr="002275DD">
        <w:rPr>
          <w:rFonts w:cs="Arial"/>
          <w:bCs/>
        </w:rPr>
        <w:t xml:space="preserve"> </w:t>
      </w:r>
      <w:r w:rsidR="00665F04" w:rsidRPr="002275DD">
        <w:rPr>
          <w:rFonts w:cs="Arial"/>
        </w:rPr>
        <w:t>[Accessed: 29</w:t>
      </w:r>
      <w:r w:rsidR="00665F04" w:rsidRPr="002275DD">
        <w:rPr>
          <w:rFonts w:cs="Arial"/>
          <w:vertAlign w:val="superscript"/>
        </w:rPr>
        <w:t>th</w:t>
      </w:r>
      <w:r w:rsidR="00665F04" w:rsidRPr="002275DD">
        <w:rPr>
          <w:rFonts w:cs="Arial"/>
        </w:rPr>
        <w:t xml:space="preserve"> September 2016]</w:t>
      </w:r>
    </w:p>
    <w:p w:rsidR="00433063" w:rsidRPr="002275DD" w:rsidRDefault="00CE589C" w:rsidP="00433063">
      <w:pPr>
        <w:shd w:val="clear" w:color="auto" w:fill="FFFFFF"/>
        <w:rPr>
          <w:rFonts w:cs="Arial"/>
        </w:rPr>
      </w:pPr>
      <w:r w:rsidRPr="002275DD">
        <w:rPr>
          <w:rFonts w:cs="Arial"/>
          <w:sz w:val="24"/>
          <w:szCs w:val="24"/>
          <w:shd w:val="clear" w:color="auto" w:fill="FFFFFF"/>
        </w:rPr>
        <w:t xml:space="preserve">Russell S. H, Hancock M. P. and </w:t>
      </w:r>
      <w:r w:rsidR="00DB24D4" w:rsidRPr="002275DD">
        <w:rPr>
          <w:rFonts w:cs="Arial"/>
          <w:sz w:val="24"/>
          <w:szCs w:val="24"/>
          <w:shd w:val="clear" w:color="auto" w:fill="FFFFFF"/>
        </w:rPr>
        <w:t>McCullough J.</w:t>
      </w:r>
      <w:r w:rsidR="00DB24D4" w:rsidRPr="002275DD">
        <w:rPr>
          <w:rStyle w:val="apple-converted-space"/>
          <w:rFonts w:cs="Arial"/>
          <w:sz w:val="24"/>
          <w:szCs w:val="24"/>
          <w:shd w:val="clear" w:color="auto" w:fill="FFFFFF"/>
        </w:rPr>
        <w:t> </w:t>
      </w:r>
      <w:r w:rsidR="00DB24D4" w:rsidRPr="009328BB">
        <w:rPr>
          <w:rStyle w:val="apple-converted-space"/>
          <w:rFonts w:cs="Arial"/>
          <w:b/>
          <w:sz w:val="24"/>
          <w:szCs w:val="24"/>
          <w:shd w:val="clear" w:color="auto" w:fill="FFFFFF"/>
        </w:rPr>
        <w:t>(</w:t>
      </w:r>
      <w:r w:rsidR="00DB24D4" w:rsidRPr="009328BB">
        <w:rPr>
          <w:rStyle w:val="Strong"/>
          <w:rFonts w:cs="Arial"/>
          <w:b w:val="0"/>
          <w:sz w:val="24"/>
          <w:szCs w:val="24"/>
          <w:shd w:val="clear" w:color="auto" w:fill="FFFFFF"/>
        </w:rPr>
        <w:t>2007)</w:t>
      </w:r>
      <w:r w:rsidRPr="009328BB">
        <w:rPr>
          <w:rStyle w:val="apple-converted-space"/>
          <w:rFonts w:cs="Arial"/>
          <w:b/>
          <w:sz w:val="24"/>
          <w:szCs w:val="24"/>
          <w:shd w:val="clear" w:color="auto" w:fill="FFFFFF"/>
        </w:rPr>
        <w:t> </w:t>
      </w:r>
      <w:r w:rsidRPr="009328BB">
        <w:rPr>
          <w:rStyle w:val="apple-converted-space"/>
          <w:rFonts w:cs="Arial"/>
          <w:i/>
          <w:sz w:val="24"/>
          <w:szCs w:val="24"/>
          <w:shd w:val="clear" w:color="auto" w:fill="FFFFFF"/>
        </w:rPr>
        <w:t>Benefits</w:t>
      </w:r>
      <w:r w:rsidR="00DB24D4" w:rsidRPr="002275DD">
        <w:rPr>
          <w:rFonts w:cs="Arial"/>
          <w:i/>
          <w:sz w:val="24"/>
          <w:szCs w:val="24"/>
          <w:shd w:val="clear" w:color="auto" w:fill="FFFFFF"/>
        </w:rPr>
        <w:t xml:space="preserve"> of Und</w:t>
      </w:r>
      <w:r w:rsidRPr="002275DD">
        <w:rPr>
          <w:rFonts w:cs="Arial"/>
          <w:i/>
          <w:sz w:val="24"/>
          <w:szCs w:val="24"/>
          <w:shd w:val="clear" w:color="auto" w:fill="FFFFFF"/>
        </w:rPr>
        <w:t>ergraduate Research Experiences.</w:t>
      </w:r>
      <w:r w:rsidR="00DB24D4" w:rsidRPr="002275DD">
        <w:rPr>
          <w:rFonts w:cs="Arial"/>
          <w:i/>
          <w:sz w:val="24"/>
          <w:szCs w:val="24"/>
          <w:shd w:val="clear" w:color="auto" w:fill="FFFFFF"/>
        </w:rPr>
        <w:t xml:space="preserve"> </w:t>
      </w:r>
      <w:r w:rsidR="00DB24D4" w:rsidRPr="002275DD">
        <w:rPr>
          <w:rFonts w:cs="Arial"/>
          <w:sz w:val="24"/>
          <w:szCs w:val="24"/>
          <w:shd w:val="clear" w:color="auto" w:fill="FFFFFF"/>
        </w:rPr>
        <w:t xml:space="preserve"> Science 316, 548-549</w:t>
      </w:r>
      <w:r w:rsidR="00433063" w:rsidRPr="002275DD">
        <w:rPr>
          <w:rFonts w:cs="Arial"/>
          <w:sz w:val="24"/>
          <w:szCs w:val="24"/>
          <w:shd w:val="clear" w:color="auto" w:fill="FFFFFF"/>
        </w:rPr>
        <w:t xml:space="preserve">. </w:t>
      </w:r>
      <w:r w:rsidR="00433063" w:rsidRPr="002275DD">
        <w:rPr>
          <w:rFonts w:cs="Arial"/>
        </w:rPr>
        <w:t>DOI: 10.1126/science.1140384</w:t>
      </w:r>
    </w:p>
    <w:p w:rsidR="00DB24D4" w:rsidRPr="002275DD" w:rsidRDefault="00DB24D4" w:rsidP="00C12D3E">
      <w:pPr>
        <w:autoSpaceDE w:val="0"/>
        <w:autoSpaceDN w:val="0"/>
        <w:adjustRightInd w:val="0"/>
        <w:spacing w:after="0"/>
        <w:jc w:val="both"/>
        <w:rPr>
          <w:rFonts w:cs="Arial"/>
          <w:i/>
        </w:rPr>
      </w:pPr>
      <w:r w:rsidRPr="002275DD">
        <w:rPr>
          <w:rFonts w:cs="Arial"/>
          <w:sz w:val="24"/>
          <w:szCs w:val="24"/>
        </w:rPr>
        <w:t xml:space="preserve">Seymour, E., Hunter, A-B., Laursen, S. L., and DeAntoni, T. (2004). </w:t>
      </w:r>
      <w:r w:rsidRPr="002275DD">
        <w:rPr>
          <w:rFonts w:cs="Arial"/>
          <w:i/>
          <w:sz w:val="24"/>
          <w:szCs w:val="24"/>
        </w:rPr>
        <w:t>Establishing the benefits of research experiences for undergraduates in the sciences: first findings from a three-</w:t>
      </w:r>
      <w:r w:rsidRPr="002275DD">
        <w:rPr>
          <w:rFonts w:cs="Arial"/>
          <w:i/>
          <w:sz w:val="24"/>
          <w:szCs w:val="24"/>
        </w:rPr>
        <w:lastRenderedPageBreak/>
        <w:t>year study</w:t>
      </w:r>
      <w:r w:rsidR="00CE589C" w:rsidRPr="002275DD">
        <w:rPr>
          <w:rFonts w:cs="Arial"/>
          <w:sz w:val="24"/>
          <w:szCs w:val="24"/>
        </w:rPr>
        <w:t>.</w:t>
      </w:r>
      <w:r w:rsidRPr="002275DD">
        <w:rPr>
          <w:rFonts w:cs="Arial"/>
          <w:sz w:val="24"/>
          <w:szCs w:val="24"/>
        </w:rPr>
        <w:t xml:space="preserve"> </w:t>
      </w:r>
      <w:r w:rsidR="00CE589C" w:rsidRPr="002275DD">
        <w:rPr>
          <w:rFonts w:cs="Arial"/>
          <w:sz w:val="24"/>
          <w:szCs w:val="24"/>
        </w:rPr>
        <w:t>Science Education</w:t>
      </w:r>
      <w:r w:rsidRPr="002275DD">
        <w:rPr>
          <w:rFonts w:cs="Arial"/>
          <w:sz w:val="24"/>
          <w:szCs w:val="24"/>
        </w:rPr>
        <w:t xml:space="preserve"> 88, 493–534.</w:t>
      </w:r>
      <w:r w:rsidR="00665F04" w:rsidRPr="002275DD">
        <w:rPr>
          <w:rFonts w:cs="Arial"/>
          <w:sz w:val="24"/>
          <w:szCs w:val="24"/>
        </w:rPr>
        <w:t xml:space="preserve"> </w:t>
      </w:r>
      <w:r w:rsidR="00665F04" w:rsidRPr="002275DD">
        <w:rPr>
          <w:rFonts w:cs="Arial"/>
        </w:rPr>
        <w:t>DOI:</w:t>
      </w:r>
      <w:r w:rsidR="00665F04" w:rsidRPr="002275DD">
        <w:rPr>
          <w:rFonts w:cs="Arial"/>
          <w:color w:val="333333"/>
          <w:shd w:val="clear" w:color="auto" w:fill="FFFFFF"/>
        </w:rPr>
        <w:t>10.1002/sce.10131</w:t>
      </w:r>
    </w:p>
    <w:p w:rsidR="00BD5495" w:rsidRPr="002275DD" w:rsidRDefault="00BD5495" w:rsidP="0048149D"/>
    <w:p w:rsidR="00665F04" w:rsidRPr="002275DD" w:rsidRDefault="00665F04" w:rsidP="0048149D">
      <w:r w:rsidRPr="002275DD">
        <w:t>Sheffield University (2016)  [online] Available from</w:t>
      </w:r>
    </w:p>
    <w:p w:rsidR="00665F04" w:rsidRPr="002275DD" w:rsidRDefault="0042621A" w:rsidP="00665F04">
      <w:pPr>
        <w:autoSpaceDE w:val="0"/>
        <w:autoSpaceDN w:val="0"/>
        <w:adjustRightInd w:val="0"/>
        <w:jc w:val="both"/>
        <w:rPr>
          <w:rFonts w:cs="Arial"/>
          <w:sz w:val="24"/>
          <w:szCs w:val="24"/>
          <w:shd w:val="clear" w:color="auto" w:fill="FFFFFF"/>
        </w:rPr>
      </w:pPr>
      <w:hyperlink r:id="rId19" w:history="1">
        <w:r w:rsidR="0048149D" w:rsidRPr="002275DD">
          <w:rPr>
            <w:rStyle w:val="Hyperlink"/>
            <w:rFonts w:cs="Arial"/>
            <w:bCs/>
          </w:rPr>
          <w:t>https://www.sheffield.ac.uk/polopoly_fs/1.532697!/file/SUREResearchProjects20112015.pdf</w:t>
        </w:r>
      </w:hyperlink>
      <w:r w:rsidR="0048149D" w:rsidRPr="002275DD">
        <w:t xml:space="preserve"> </w:t>
      </w:r>
      <w:r w:rsidR="00665F04" w:rsidRPr="002275DD">
        <w:rPr>
          <w:rFonts w:cs="Arial"/>
        </w:rPr>
        <w:t>[Accessed: 29</w:t>
      </w:r>
      <w:r w:rsidR="00665F04" w:rsidRPr="002275DD">
        <w:rPr>
          <w:rFonts w:cs="Arial"/>
          <w:vertAlign w:val="superscript"/>
        </w:rPr>
        <w:t>th</w:t>
      </w:r>
      <w:r w:rsidR="00665F04" w:rsidRPr="002275DD">
        <w:rPr>
          <w:rFonts w:cs="Arial"/>
        </w:rPr>
        <w:t xml:space="preserve"> September 2016]</w:t>
      </w:r>
    </w:p>
    <w:p w:rsidR="0048149D" w:rsidRPr="002275DD" w:rsidRDefault="00A62BD4" w:rsidP="0048149D">
      <w:pPr>
        <w:rPr>
          <w:rStyle w:val="Hyperlink"/>
          <w:rFonts w:cs="Arial"/>
          <w:bCs/>
        </w:rPr>
      </w:pPr>
      <w:r w:rsidRPr="002275DD">
        <w:t>Stanford</w:t>
      </w:r>
      <w:r w:rsidR="008D6B16" w:rsidRPr="002275DD">
        <w:t>,</w:t>
      </w:r>
      <w:r w:rsidRPr="002275DD">
        <w:t xml:space="preserve"> J. S., Rocheleau</w:t>
      </w:r>
      <w:r w:rsidR="008D6B16" w:rsidRPr="002275DD">
        <w:t>,</w:t>
      </w:r>
      <w:r w:rsidRPr="002275DD">
        <w:t xml:space="preserve"> S. E</w:t>
      </w:r>
      <w:r w:rsidR="00CE589C" w:rsidRPr="002275DD">
        <w:t>.,</w:t>
      </w:r>
      <w:r w:rsidRPr="002275DD">
        <w:t xml:space="preserve"> Smith</w:t>
      </w:r>
      <w:r w:rsidR="008D6B16" w:rsidRPr="002275DD">
        <w:t>,</w:t>
      </w:r>
      <w:r w:rsidRPr="002275DD">
        <w:t xml:space="preserve"> K.P.W. </w:t>
      </w:r>
      <w:r w:rsidR="00CE589C" w:rsidRPr="002275DD">
        <w:t>and Mohan</w:t>
      </w:r>
      <w:r w:rsidRPr="002275DD">
        <w:t xml:space="preserve"> J. (2015). </w:t>
      </w:r>
      <w:r w:rsidRPr="009328BB">
        <w:rPr>
          <w:i/>
        </w:rPr>
        <w:t>Early undergraduate research experiences lead to similar learning gains for STEM and Non-STEM undergraduates</w:t>
      </w:r>
      <w:r w:rsidR="008D1D3C">
        <w:t>, Studies in Higher Education</w:t>
      </w:r>
      <w:r w:rsidRPr="002275DD">
        <w:t xml:space="preserve"> 1-</w:t>
      </w:r>
      <w:proofErr w:type="gramStart"/>
      <w:r w:rsidRPr="002275DD">
        <w:t>15  DOI</w:t>
      </w:r>
      <w:proofErr w:type="gramEnd"/>
      <w:r w:rsidRPr="002275DD">
        <w:t>: 10.1080/03075079.2015.1035248</w:t>
      </w:r>
    </w:p>
    <w:p w:rsidR="00DB24D4" w:rsidRPr="002275DD" w:rsidRDefault="00DB24D4" w:rsidP="00CE589C">
      <w:pPr>
        <w:rPr>
          <w:rStyle w:val="A2"/>
          <w:rFonts w:cs="Arial"/>
          <w:color w:val="auto"/>
          <w:sz w:val="22"/>
          <w:szCs w:val="22"/>
        </w:rPr>
      </w:pPr>
      <w:r w:rsidRPr="002275DD">
        <w:rPr>
          <w:rStyle w:val="A2"/>
          <w:rFonts w:cs="Arial"/>
          <w:sz w:val="24"/>
          <w:szCs w:val="24"/>
        </w:rPr>
        <w:t xml:space="preserve">Thiry, H., Weston. </w:t>
      </w:r>
      <w:proofErr w:type="gramStart"/>
      <w:r w:rsidRPr="002275DD">
        <w:rPr>
          <w:rStyle w:val="A2"/>
          <w:rFonts w:cs="Arial"/>
          <w:sz w:val="24"/>
          <w:szCs w:val="24"/>
        </w:rPr>
        <w:t>T, Laursen, S.L., Hunter, A-B.</w:t>
      </w:r>
      <w:proofErr w:type="gramEnd"/>
      <w:r w:rsidRPr="002275DD">
        <w:rPr>
          <w:rStyle w:val="A2"/>
          <w:rFonts w:cs="Arial"/>
          <w:sz w:val="24"/>
          <w:szCs w:val="24"/>
        </w:rPr>
        <w:t xml:space="preserve"> (2012). </w:t>
      </w:r>
      <w:proofErr w:type="gramStart"/>
      <w:r w:rsidRPr="002275DD">
        <w:rPr>
          <w:rFonts w:cs="Arial"/>
          <w:i/>
          <w:sz w:val="24"/>
          <w:szCs w:val="24"/>
        </w:rPr>
        <w:t>The</w:t>
      </w:r>
      <w:proofErr w:type="gramEnd"/>
      <w:r w:rsidRPr="002275DD">
        <w:rPr>
          <w:rFonts w:cs="Arial"/>
          <w:i/>
          <w:sz w:val="24"/>
          <w:szCs w:val="24"/>
        </w:rPr>
        <w:t xml:space="preserve"> Benefits of Multi-Year Research Experiences: Differences in Novice and Experienced Students’ Reported Gains from Undergraduate Research</w:t>
      </w:r>
      <w:r w:rsidR="00CE589C" w:rsidRPr="002275DD">
        <w:rPr>
          <w:rFonts w:cs="Arial"/>
          <w:sz w:val="24"/>
          <w:szCs w:val="24"/>
        </w:rPr>
        <w:t>.</w:t>
      </w:r>
      <w:r w:rsidRPr="002275DD">
        <w:rPr>
          <w:rFonts w:cs="Arial"/>
          <w:sz w:val="24"/>
          <w:szCs w:val="24"/>
        </w:rPr>
        <w:t xml:space="preserve"> Cell </w:t>
      </w:r>
      <w:proofErr w:type="gramStart"/>
      <w:r w:rsidRPr="002275DD">
        <w:rPr>
          <w:rFonts w:cs="Arial"/>
          <w:sz w:val="24"/>
          <w:szCs w:val="24"/>
        </w:rPr>
        <w:t xml:space="preserve">Biology  </w:t>
      </w:r>
      <w:r w:rsidR="008D1D3C">
        <w:rPr>
          <w:rFonts w:cs="Arial"/>
          <w:sz w:val="24"/>
          <w:szCs w:val="24"/>
        </w:rPr>
        <w:t>Education</w:t>
      </w:r>
      <w:proofErr w:type="gramEnd"/>
      <w:r w:rsidRPr="002275DD">
        <w:rPr>
          <w:rFonts w:cs="Arial"/>
          <w:sz w:val="24"/>
          <w:szCs w:val="24"/>
        </w:rPr>
        <w:t xml:space="preserve"> 11, 260-272.</w:t>
      </w:r>
      <w:r w:rsidR="00433063" w:rsidRPr="002275DD">
        <w:rPr>
          <w:rFonts w:cs="Arial"/>
          <w:sz w:val="24"/>
          <w:szCs w:val="24"/>
        </w:rPr>
        <w:t xml:space="preserve"> </w:t>
      </w:r>
      <w:r w:rsidR="00433063" w:rsidRPr="002275DD">
        <w:rPr>
          <w:rFonts w:cs="Arial"/>
          <w:shd w:val="clear" w:color="auto" w:fill="FFFFFF"/>
        </w:rPr>
        <w:t>DOI: </w:t>
      </w:r>
      <w:r w:rsidR="00433063" w:rsidRPr="002275DD">
        <w:rPr>
          <w:rStyle w:val="apple-converted-space"/>
          <w:rFonts w:cs="Arial"/>
          <w:shd w:val="clear" w:color="auto" w:fill="FFFFFF"/>
        </w:rPr>
        <w:t> </w:t>
      </w:r>
      <w:hyperlink r:id="rId20" w:tgtFrame="pmc_ext" w:history="1">
        <w:r w:rsidR="00433063" w:rsidRPr="002275DD">
          <w:rPr>
            <w:rStyle w:val="Hyperlink"/>
            <w:rFonts w:cs="Arial"/>
            <w:color w:val="auto"/>
            <w:u w:val="none"/>
            <w:shd w:val="clear" w:color="auto" w:fill="FFFFFF"/>
          </w:rPr>
          <w:t>10.1187/cbe.11-11-0098</w:t>
        </w:r>
      </w:hyperlink>
    </w:p>
    <w:p w:rsidR="00DB24D4" w:rsidRPr="002275DD" w:rsidRDefault="00DB24D4" w:rsidP="002275DD">
      <w:pPr>
        <w:autoSpaceDE w:val="0"/>
        <w:autoSpaceDN w:val="0"/>
        <w:adjustRightInd w:val="0"/>
        <w:rPr>
          <w:rStyle w:val="apple-converted-space"/>
          <w:rFonts w:cs="Arial"/>
          <w:color w:val="373737"/>
          <w:sz w:val="24"/>
          <w:szCs w:val="24"/>
          <w:shd w:val="clear" w:color="auto" w:fill="FFFFFF"/>
        </w:rPr>
      </w:pPr>
      <w:r w:rsidRPr="002275DD">
        <w:rPr>
          <w:rFonts w:cs="Arial"/>
          <w:sz w:val="24"/>
          <w:szCs w:val="24"/>
        </w:rPr>
        <w:t xml:space="preserve">Thrift, N (2008) </w:t>
      </w:r>
      <w:r w:rsidRPr="009328BB">
        <w:rPr>
          <w:rFonts w:cs="Arial"/>
          <w:i/>
          <w:sz w:val="24"/>
          <w:szCs w:val="24"/>
        </w:rPr>
        <w:t>Research Careers in the UK: A Review</w:t>
      </w:r>
      <w:r w:rsidRPr="002275DD">
        <w:rPr>
          <w:rFonts w:cs="Arial"/>
          <w:sz w:val="24"/>
          <w:szCs w:val="24"/>
        </w:rPr>
        <w:t xml:space="preserve">, London: </w:t>
      </w:r>
      <w:r w:rsidRPr="002275DD">
        <w:rPr>
          <w:rFonts w:cs="Arial"/>
          <w:sz w:val="24"/>
          <w:szCs w:val="24"/>
        </w:rPr>
        <w:lastRenderedPageBreak/>
        <w:t>Department for Innovation, Universities and Skills. Available at: http://webarchive.nationalarchives.gov.uk/20090506151438/http://www. dius.gov.uk/higher_education/shape_and_structure/he_debate/~/media /publications/N/Nigel%20Thrift%20contribu</w:t>
      </w:r>
      <w:r w:rsidR="0048149D" w:rsidRPr="002275DD">
        <w:rPr>
          <w:rFonts w:cs="Arial"/>
          <w:sz w:val="24"/>
          <w:szCs w:val="24"/>
        </w:rPr>
        <w:t xml:space="preserve">tion%20to%20HE%20Debat e UCEA </w:t>
      </w:r>
    </w:p>
    <w:p w:rsidR="002275DD" w:rsidRDefault="002275DD" w:rsidP="002275DD">
      <w:pPr>
        <w:autoSpaceDE w:val="0"/>
        <w:autoSpaceDN w:val="0"/>
        <w:adjustRightInd w:val="0"/>
        <w:rPr>
          <w:rFonts w:cs="Arial"/>
          <w:lang w:eastAsia="en-GB"/>
        </w:rPr>
      </w:pPr>
    </w:p>
    <w:p w:rsidR="00433063" w:rsidRPr="002275DD" w:rsidRDefault="00DB24D4" w:rsidP="002275DD">
      <w:pPr>
        <w:autoSpaceDE w:val="0"/>
        <w:autoSpaceDN w:val="0"/>
        <w:adjustRightInd w:val="0"/>
        <w:rPr>
          <w:rFonts w:cs="Arial"/>
          <w:lang w:eastAsia="en-GB"/>
        </w:rPr>
      </w:pPr>
      <w:r w:rsidRPr="002275DD">
        <w:rPr>
          <w:rFonts w:cs="Arial"/>
          <w:lang w:eastAsia="en-GB"/>
        </w:rPr>
        <w:t xml:space="preserve">Vygotsky, L. S. (1978). </w:t>
      </w:r>
      <w:proofErr w:type="gramStart"/>
      <w:r w:rsidRPr="009328BB">
        <w:rPr>
          <w:rFonts w:cs="Arial"/>
          <w:i/>
          <w:lang w:eastAsia="en-GB"/>
        </w:rPr>
        <w:t>Mind in society: The development of higher psychological processes</w:t>
      </w:r>
      <w:r w:rsidRPr="002275DD">
        <w:rPr>
          <w:rFonts w:cs="Arial"/>
          <w:lang w:eastAsia="en-GB"/>
        </w:rPr>
        <w:t>.</w:t>
      </w:r>
      <w:proofErr w:type="gramEnd"/>
      <w:r w:rsidRPr="002275DD">
        <w:rPr>
          <w:rFonts w:cs="Arial"/>
          <w:lang w:eastAsia="en-GB"/>
        </w:rPr>
        <w:t xml:space="preserve"> Cambridge, MA: Harvard University Press.</w:t>
      </w:r>
      <w:r w:rsidR="00433063" w:rsidRPr="002275DD">
        <w:rPr>
          <w:rFonts w:cs="Arial"/>
          <w:lang w:eastAsia="en-GB"/>
        </w:rPr>
        <w:t xml:space="preserve">  ISBN 9780674576292</w:t>
      </w:r>
    </w:p>
    <w:p w:rsidR="00DD5C5B" w:rsidRPr="002275DD" w:rsidRDefault="00665F04" w:rsidP="002275DD">
      <w:pPr>
        <w:autoSpaceDE w:val="0"/>
        <w:autoSpaceDN w:val="0"/>
        <w:adjustRightInd w:val="0"/>
        <w:rPr>
          <w:rFonts w:cs="Arial"/>
          <w:lang w:eastAsia="en-GB"/>
        </w:rPr>
      </w:pPr>
      <w:proofErr w:type="spellStart"/>
      <w:r w:rsidRPr="002275DD">
        <w:rPr>
          <w:rFonts w:cs="Arial"/>
          <w:lang w:eastAsia="en-GB"/>
        </w:rPr>
        <w:t>Wellcome</w:t>
      </w:r>
      <w:proofErr w:type="spellEnd"/>
      <w:r w:rsidRPr="002275DD">
        <w:rPr>
          <w:rFonts w:cs="Arial"/>
          <w:lang w:eastAsia="en-GB"/>
        </w:rPr>
        <w:t xml:space="preserve"> (2016) [Online] </w:t>
      </w:r>
      <w:r w:rsidRPr="002275DD">
        <w:t>Available from</w:t>
      </w:r>
    </w:p>
    <w:p w:rsidR="00665F04" w:rsidRPr="002275DD" w:rsidRDefault="0042621A" w:rsidP="002275DD">
      <w:pPr>
        <w:autoSpaceDE w:val="0"/>
        <w:autoSpaceDN w:val="0"/>
        <w:adjustRightInd w:val="0"/>
        <w:rPr>
          <w:rFonts w:cs="Arial"/>
          <w:sz w:val="24"/>
          <w:szCs w:val="24"/>
          <w:shd w:val="clear" w:color="auto" w:fill="FFFFFF"/>
        </w:rPr>
      </w:pPr>
      <w:hyperlink r:id="rId21" w:history="1">
        <w:r w:rsidR="00DD5C5B" w:rsidRPr="002275DD">
          <w:rPr>
            <w:rStyle w:val="Hyperlink"/>
            <w:rFonts w:cs="Arial"/>
            <w:bCs/>
            <w:color w:val="auto"/>
          </w:rPr>
          <w:t>https://wellcome.ac.uk/funding/biomedical-vacation-scholarships</w:t>
        </w:r>
      </w:hyperlink>
      <w:r w:rsidR="00665F04" w:rsidRPr="002275DD">
        <w:rPr>
          <w:rStyle w:val="Hyperlink"/>
          <w:rFonts w:cs="Arial"/>
          <w:bCs/>
          <w:color w:val="auto"/>
        </w:rPr>
        <w:t xml:space="preserve">, </w:t>
      </w:r>
      <w:r w:rsidR="00665F04" w:rsidRPr="002275DD">
        <w:rPr>
          <w:rFonts w:cs="Arial"/>
        </w:rPr>
        <w:t>[Accessed: 29</w:t>
      </w:r>
      <w:r w:rsidR="00665F04" w:rsidRPr="002275DD">
        <w:rPr>
          <w:rFonts w:cs="Arial"/>
          <w:vertAlign w:val="superscript"/>
        </w:rPr>
        <w:t>th</w:t>
      </w:r>
      <w:r w:rsidR="00665F04" w:rsidRPr="002275DD">
        <w:rPr>
          <w:rFonts w:cs="Arial"/>
        </w:rPr>
        <w:t xml:space="preserve"> September 2016]</w:t>
      </w:r>
    </w:p>
    <w:p w:rsidR="00DB24D4" w:rsidRPr="002275DD" w:rsidRDefault="00DB24D4" w:rsidP="002275DD">
      <w:pPr>
        <w:autoSpaceDE w:val="0"/>
        <w:autoSpaceDN w:val="0"/>
        <w:adjustRightInd w:val="0"/>
        <w:rPr>
          <w:rFonts w:cs="Arial"/>
          <w:lang w:eastAsia="en-GB"/>
        </w:rPr>
      </w:pPr>
      <w:r w:rsidRPr="002275DD">
        <w:rPr>
          <w:rFonts w:cs="Arial"/>
          <w:lang w:eastAsia="en-GB"/>
        </w:rPr>
        <w:t>Wenger, E. (1998</w:t>
      </w:r>
      <w:r w:rsidRPr="009328BB">
        <w:rPr>
          <w:rFonts w:cs="Arial"/>
          <w:i/>
          <w:lang w:eastAsia="en-GB"/>
        </w:rPr>
        <w:t>). Communities of practice: Learning, meaning and identity</w:t>
      </w:r>
      <w:r w:rsidRPr="002275DD">
        <w:rPr>
          <w:rFonts w:cs="Arial"/>
          <w:lang w:eastAsia="en-GB"/>
        </w:rPr>
        <w:t>. Cambridge, MA: Cambridge University Press</w:t>
      </w:r>
      <w:r w:rsidR="00433063" w:rsidRPr="002275DD">
        <w:rPr>
          <w:rFonts w:cs="Arial"/>
          <w:lang w:eastAsia="en-GB"/>
        </w:rPr>
        <w:t xml:space="preserve">. </w:t>
      </w:r>
      <w:proofErr w:type="gramStart"/>
      <w:r w:rsidR="00433063" w:rsidRPr="002275DD">
        <w:rPr>
          <w:rFonts w:cs="Arial"/>
          <w:lang w:eastAsia="en-GB"/>
        </w:rPr>
        <w:t xml:space="preserve">ISBN </w:t>
      </w:r>
      <w:r w:rsidR="002040AC" w:rsidRPr="002275DD">
        <w:rPr>
          <w:rFonts w:cs="Arial"/>
          <w:lang w:eastAsia="en-GB"/>
        </w:rPr>
        <w:t>0521663636.</w:t>
      </w:r>
      <w:proofErr w:type="gramEnd"/>
      <w:r w:rsidR="00275998">
        <w:rPr>
          <w:rFonts w:cs="Arial"/>
          <w:lang w:eastAsia="en-GB"/>
        </w:rPr>
        <w:t xml:space="preserve"> </w:t>
      </w:r>
    </w:p>
    <w:p w:rsidR="00DB24D4" w:rsidRPr="00013473" w:rsidRDefault="00013473" w:rsidP="002275DD">
      <w:pPr>
        <w:pStyle w:val="Heading2"/>
        <w:spacing w:after="200"/>
        <w:rPr>
          <w:rFonts w:cs="Arial"/>
          <w:b w:val="0"/>
          <w:sz w:val="22"/>
          <w:szCs w:val="22"/>
        </w:rPr>
      </w:pPr>
      <w:r w:rsidRPr="002275DD">
        <w:rPr>
          <w:rFonts w:cs="Arial"/>
          <w:b w:val="0"/>
          <w:sz w:val="22"/>
          <w:szCs w:val="22"/>
        </w:rPr>
        <w:lastRenderedPageBreak/>
        <w:t xml:space="preserve">Williams, N.A. and Jones, L., (2016) </w:t>
      </w:r>
      <w:r w:rsidRPr="009328BB">
        <w:rPr>
          <w:rFonts w:cs="Arial"/>
          <w:b w:val="0"/>
          <w:i/>
          <w:sz w:val="22"/>
          <w:szCs w:val="22"/>
        </w:rPr>
        <w:t xml:space="preserve">Widening Access Across the Student </w:t>
      </w:r>
      <w:proofErr w:type="gramStart"/>
      <w:r w:rsidRPr="009328BB">
        <w:rPr>
          <w:rFonts w:cs="Arial"/>
          <w:b w:val="0"/>
          <w:i/>
          <w:sz w:val="22"/>
          <w:szCs w:val="22"/>
        </w:rPr>
        <w:t>Lifecycle</w:t>
      </w:r>
      <w:r w:rsidRPr="002275DD">
        <w:rPr>
          <w:rFonts w:cs="Arial"/>
          <w:b w:val="0"/>
          <w:sz w:val="22"/>
          <w:szCs w:val="22"/>
        </w:rPr>
        <w:t xml:space="preserve"> ,</w:t>
      </w:r>
      <w:proofErr w:type="gramEnd"/>
      <w:r w:rsidRPr="002275DD">
        <w:rPr>
          <w:rFonts w:cs="Arial"/>
          <w:b w:val="0"/>
          <w:sz w:val="22"/>
          <w:szCs w:val="22"/>
        </w:rPr>
        <w:t xml:space="preserve"> Newcastle, Cambridge Scholars Publishing. Accepted for publication</w:t>
      </w:r>
    </w:p>
    <w:sectPr w:rsidR="00DB24D4" w:rsidRPr="00013473" w:rsidSect="00B915E3">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wift">
    <w:altName w:val="Swif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5D9"/>
    <w:multiLevelType w:val="hybridMultilevel"/>
    <w:tmpl w:val="BCD26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D200F8"/>
    <w:multiLevelType w:val="hybridMultilevel"/>
    <w:tmpl w:val="9F94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96CDB"/>
    <w:multiLevelType w:val="multilevel"/>
    <w:tmpl w:val="D440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35C9B"/>
    <w:multiLevelType w:val="hybridMultilevel"/>
    <w:tmpl w:val="F8E28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5C08AC"/>
    <w:multiLevelType w:val="hybridMultilevel"/>
    <w:tmpl w:val="C58C4000"/>
    <w:lvl w:ilvl="0" w:tplc="D25A5754">
      <w:start w:val="1"/>
      <w:numFmt w:val="decimal"/>
      <w:pStyle w:val="SHERONAQ"/>
      <w:lvlText w:val="Q%1."/>
      <w:lvlJc w:val="left"/>
      <w:pPr>
        <w:tabs>
          <w:tab w:val="num" w:pos="680"/>
        </w:tabs>
        <w:ind w:left="680" w:hanging="567"/>
      </w:pPr>
      <w:rPr>
        <w:rFonts w:ascii="Arial" w:hAnsi="Arial" w:cs="Times New Roman" w:hint="default"/>
        <w:b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D7F25C5"/>
    <w:multiLevelType w:val="hybridMultilevel"/>
    <w:tmpl w:val="415E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C1"/>
    <w:rsid w:val="000004C1"/>
    <w:rsid w:val="00013473"/>
    <w:rsid w:val="00066C1E"/>
    <w:rsid w:val="00076837"/>
    <w:rsid w:val="000F0D6B"/>
    <w:rsid w:val="00110C96"/>
    <w:rsid w:val="00152E4F"/>
    <w:rsid w:val="00160CBE"/>
    <w:rsid w:val="00164AD5"/>
    <w:rsid w:val="0018268A"/>
    <w:rsid w:val="00187958"/>
    <w:rsid w:val="001A5339"/>
    <w:rsid w:val="001B46D5"/>
    <w:rsid w:val="002040AC"/>
    <w:rsid w:val="002275DD"/>
    <w:rsid w:val="00275998"/>
    <w:rsid w:val="00282ACB"/>
    <w:rsid w:val="002A6CEF"/>
    <w:rsid w:val="002C78C5"/>
    <w:rsid w:val="002D5045"/>
    <w:rsid w:val="00316AAA"/>
    <w:rsid w:val="00392460"/>
    <w:rsid w:val="003A62E7"/>
    <w:rsid w:val="003A69C9"/>
    <w:rsid w:val="004027C1"/>
    <w:rsid w:val="00413379"/>
    <w:rsid w:val="0042621A"/>
    <w:rsid w:val="00433063"/>
    <w:rsid w:val="004412CB"/>
    <w:rsid w:val="0047774E"/>
    <w:rsid w:val="00480269"/>
    <w:rsid w:val="0048149D"/>
    <w:rsid w:val="004B1681"/>
    <w:rsid w:val="004B40C6"/>
    <w:rsid w:val="004D5199"/>
    <w:rsid w:val="005411BF"/>
    <w:rsid w:val="00562CD1"/>
    <w:rsid w:val="005A038B"/>
    <w:rsid w:val="005C4FC7"/>
    <w:rsid w:val="005C7B01"/>
    <w:rsid w:val="005D5FC6"/>
    <w:rsid w:val="005E7CA3"/>
    <w:rsid w:val="00606599"/>
    <w:rsid w:val="00643F82"/>
    <w:rsid w:val="006508C7"/>
    <w:rsid w:val="00665F04"/>
    <w:rsid w:val="00686719"/>
    <w:rsid w:val="00762757"/>
    <w:rsid w:val="00791315"/>
    <w:rsid w:val="007C0C0F"/>
    <w:rsid w:val="007D2AD8"/>
    <w:rsid w:val="00800B49"/>
    <w:rsid w:val="00816FE2"/>
    <w:rsid w:val="00852B60"/>
    <w:rsid w:val="00865ED0"/>
    <w:rsid w:val="0088068D"/>
    <w:rsid w:val="00886007"/>
    <w:rsid w:val="00887C7A"/>
    <w:rsid w:val="008A2FFE"/>
    <w:rsid w:val="008C05B5"/>
    <w:rsid w:val="008D1D3C"/>
    <w:rsid w:val="008D2479"/>
    <w:rsid w:val="008D4A55"/>
    <w:rsid w:val="008D6B16"/>
    <w:rsid w:val="00907BE4"/>
    <w:rsid w:val="009328BB"/>
    <w:rsid w:val="00965250"/>
    <w:rsid w:val="009E2825"/>
    <w:rsid w:val="00A11CA7"/>
    <w:rsid w:val="00A133E4"/>
    <w:rsid w:val="00A50A47"/>
    <w:rsid w:val="00A62BD4"/>
    <w:rsid w:val="00A710C1"/>
    <w:rsid w:val="00A817B6"/>
    <w:rsid w:val="00A9335E"/>
    <w:rsid w:val="00AA74B9"/>
    <w:rsid w:val="00AD679A"/>
    <w:rsid w:val="00B11EFE"/>
    <w:rsid w:val="00B65974"/>
    <w:rsid w:val="00B90AE7"/>
    <w:rsid w:val="00B915E3"/>
    <w:rsid w:val="00BB79EB"/>
    <w:rsid w:val="00BB7C68"/>
    <w:rsid w:val="00BD5495"/>
    <w:rsid w:val="00BE771C"/>
    <w:rsid w:val="00C12D3E"/>
    <w:rsid w:val="00C4400C"/>
    <w:rsid w:val="00C51682"/>
    <w:rsid w:val="00C9075A"/>
    <w:rsid w:val="00CA2EC6"/>
    <w:rsid w:val="00CE589C"/>
    <w:rsid w:val="00CF437A"/>
    <w:rsid w:val="00D062A0"/>
    <w:rsid w:val="00D30D1A"/>
    <w:rsid w:val="00D53994"/>
    <w:rsid w:val="00D614A3"/>
    <w:rsid w:val="00D62238"/>
    <w:rsid w:val="00D97046"/>
    <w:rsid w:val="00DB24D4"/>
    <w:rsid w:val="00DD5C5B"/>
    <w:rsid w:val="00E00167"/>
    <w:rsid w:val="00E02E45"/>
    <w:rsid w:val="00E06ECB"/>
    <w:rsid w:val="00E22F2F"/>
    <w:rsid w:val="00E36AA3"/>
    <w:rsid w:val="00E52B91"/>
    <w:rsid w:val="00E61C04"/>
    <w:rsid w:val="00F468BA"/>
    <w:rsid w:val="00F90520"/>
    <w:rsid w:val="00F9456A"/>
    <w:rsid w:val="00FD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C1"/>
    <w:pPr>
      <w:spacing w:line="480" w:lineRule="auto"/>
    </w:pPr>
    <w:rPr>
      <w:rFonts w:ascii="Arial" w:hAnsi="Arial"/>
    </w:rPr>
  </w:style>
  <w:style w:type="paragraph" w:styleId="Heading1">
    <w:name w:val="heading 1"/>
    <w:basedOn w:val="Normal"/>
    <w:next w:val="Normal"/>
    <w:link w:val="Heading1Char"/>
    <w:uiPriority w:val="9"/>
    <w:qFormat/>
    <w:rsid w:val="004027C1"/>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4027C1"/>
    <w:pPr>
      <w:keepNext/>
      <w:keepLines/>
      <w:spacing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027C1"/>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027C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4027C1"/>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4027C1"/>
    <w:rPr>
      <w:rFonts w:ascii="Arial" w:eastAsiaTheme="majorEastAsia" w:hAnsi="Arial" w:cstheme="majorBidi"/>
      <w:b/>
      <w:bCs/>
    </w:rPr>
  </w:style>
  <w:style w:type="paragraph" w:styleId="ListParagraph">
    <w:name w:val="List Paragraph"/>
    <w:basedOn w:val="Normal"/>
    <w:uiPriority w:val="34"/>
    <w:qFormat/>
    <w:rsid w:val="004027C1"/>
    <w:pPr>
      <w:ind w:left="720"/>
      <w:contextualSpacing/>
    </w:pPr>
  </w:style>
  <w:style w:type="character" w:styleId="Hyperlink">
    <w:name w:val="Hyperlink"/>
    <w:uiPriority w:val="99"/>
    <w:unhideWhenUsed/>
    <w:rsid w:val="00413379"/>
    <w:rPr>
      <w:color w:val="0000FF"/>
      <w:u w:val="single"/>
    </w:rPr>
  </w:style>
  <w:style w:type="character" w:customStyle="1" w:styleId="apple-converted-space">
    <w:name w:val="apple-converted-space"/>
    <w:rsid w:val="00D97046"/>
  </w:style>
  <w:style w:type="paragraph" w:customStyle="1" w:styleId="AbstractTitle">
    <w:name w:val="Abstract Title"/>
    <w:basedOn w:val="Heading1"/>
    <w:rsid w:val="00D97046"/>
    <w:pPr>
      <w:spacing w:before="0" w:after="40" w:line="240" w:lineRule="auto"/>
      <w:jc w:val="both"/>
      <w:outlineLvl w:val="9"/>
    </w:pPr>
    <w:rPr>
      <w:rFonts w:ascii="Helvetica" w:eastAsia="Times New Roman" w:hAnsi="Helvetica" w:cs="Times New Roman"/>
      <w:bCs w:val="0"/>
      <w:smallCaps/>
      <w:kern w:val="28"/>
      <w:sz w:val="28"/>
      <w:szCs w:val="20"/>
      <w:lang w:val="en-US"/>
    </w:rPr>
  </w:style>
  <w:style w:type="paragraph" w:customStyle="1" w:styleId="SHERONAQ">
    <w:name w:val="SHERONAQ"/>
    <w:basedOn w:val="Normal"/>
    <w:rsid w:val="00D97046"/>
    <w:pPr>
      <w:numPr>
        <w:numId w:val="3"/>
      </w:numPr>
      <w:spacing w:after="0" w:line="240" w:lineRule="auto"/>
    </w:pPr>
    <w:rPr>
      <w:rFonts w:eastAsia="Times New Roman" w:cs="Times New Roman"/>
      <w:sz w:val="24"/>
      <w:szCs w:val="20"/>
    </w:rPr>
  </w:style>
  <w:style w:type="character" w:styleId="Strong">
    <w:name w:val="Strong"/>
    <w:uiPriority w:val="22"/>
    <w:qFormat/>
    <w:rsid w:val="00187958"/>
    <w:rPr>
      <w:b/>
      <w:bCs/>
    </w:rPr>
  </w:style>
  <w:style w:type="character" w:customStyle="1" w:styleId="A2">
    <w:name w:val="A2"/>
    <w:uiPriority w:val="99"/>
    <w:rsid w:val="00187958"/>
    <w:rPr>
      <w:rFonts w:cs="Swift"/>
      <w:color w:val="211D1E"/>
      <w:sz w:val="16"/>
      <w:szCs w:val="16"/>
    </w:rPr>
  </w:style>
  <w:style w:type="paragraph" w:styleId="BalloonText">
    <w:name w:val="Balloon Text"/>
    <w:basedOn w:val="Normal"/>
    <w:link w:val="BalloonTextChar"/>
    <w:uiPriority w:val="99"/>
    <w:semiHidden/>
    <w:unhideWhenUsed/>
    <w:rsid w:val="0016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D5"/>
    <w:rPr>
      <w:rFonts w:ascii="Tahoma" w:hAnsi="Tahoma" w:cs="Tahoma"/>
      <w:sz w:val="16"/>
      <w:szCs w:val="16"/>
    </w:rPr>
  </w:style>
  <w:style w:type="character" w:styleId="Emphasis">
    <w:name w:val="Emphasis"/>
    <w:uiPriority w:val="20"/>
    <w:qFormat/>
    <w:rsid w:val="00C12D3E"/>
    <w:rPr>
      <w:i/>
      <w:iCs/>
    </w:rPr>
  </w:style>
  <w:style w:type="character" w:customStyle="1" w:styleId="personname">
    <w:name w:val="person_name"/>
    <w:rsid w:val="00C12D3E"/>
  </w:style>
  <w:style w:type="character" w:styleId="FollowedHyperlink">
    <w:name w:val="FollowedHyperlink"/>
    <w:basedOn w:val="DefaultParagraphFont"/>
    <w:uiPriority w:val="99"/>
    <w:semiHidden/>
    <w:unhideWhenUsed/>
    <w:rsid w:val="00DD5C5B"/>
    <w:rPr>
      <w:color w:val="800080" w:themeColor="followedHyperlink"/>
      <w:u w:val="single"/>
    </w:rPr>
  </w:style>
  <w:style w:type="character" w:customStyle="1" w:styleId="article-headermeta-info-label">
    <w:name w:val="article-header__meta-info-label"/>
    <w:basedOn w:val="DefaultParagraphFont"/>
    <w:rsid w:val="00665F04"/>
  </w:style>
  <w:style w:type="character" w:customStyle="1" w:styleId="article-headermeta-info-data">
    <w:name w:val="article-header__meta-info-data"/>
    <w:basedOn w:val="DefaultParagraphFont"/>
    <w:rsid w:val="00665F04"/>
  </w:style>
  <w:style w:type="character" w:customStyle="1" w:styleId="slug-doi">
    <w:name w:val="slug-doi"/>
    <w:basedOn w:val="DefaultParagraphFont"/>
    <w:rsid w:val="00D61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C1"/>
    <w:pPr>
      <w:spacing w:line="480" w:lineRule="auto"/>
    </w:pPr>
    <w:rPr>
      <w:rFonts w:ascii="Arial" w:hAnsi="Arial"/>
    </w:rPr>
  </w:style>
  <w:style w:type="paragraph" w:styleId="Heading1">
    <w:name w:val="heading 1"/>
    <w:basedOn w:val="Normal"/>
    <w:next w:val="Normal"/>
    <w:link w:val="Heading1Char"/>
    <w:uiPriority w:val="9"/>
    <w:qFormat/>
    <w:rsid w:val="004027C1"/>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4027C1"/>
    <w:pPr>
      <w:keepNext/>
      <w:keepLines/>
      <w:spacing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027C1"/>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027C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4027C1"/>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4027C1"/>
    <w:rPr>
      <w:rFonts w:ascii="Arial" w:eastAsiaTheme="majorEastAsia" w:hAnsi="Arial" w:cstheme="majorBidi"/>
      <w:b/>
      <w:bCs/>
    </w:rPr>
  </w:style>
  <w:style w:type="paragraph" w:styleId="ListParagraph">
    <w:name w:val="List Paragraph"/>
    <w:basedOn w:val="Normal"/>
    <w:uiPriority w:val="34"/>
    <w:qFormat/>
    <w:rsid w:val="004027C1"/>
    <w:pPr>
      <w:ind w:left="720"/>
      <w:contextualSpacing/>
    </w:pPr>
  </w:style>
  <w:style w:type="character" w:styleId="Hyperlink">
    <w:name w:val="Hyperlink"/>
    <w:uiPriority w:val="99"/>
    <w:unhideWhenUsed/>
    <w:rsid w:val="00413379"/>
    <w:rPr>
      <w:color w:val="0000FF"/>
      <w:u w:val="single"/>
    </w:rPr>
  </w:style>
  <w:style w:type="character" w:customStyle="1" w:styleId="apple-converted-space">
    <w:name w:val="apple-converted-space"/>
    <w:rsid w:val="00D97046"/>
  </w:style>
  <w:style w:type="paragraph" w:customStyle="1" w:styleId="AbstractTitle">
    <w:name w:val="Abstract Title"/>
    <w:basedOn w:val="Heading1"/>
    <w:rsid w:val="00D97046"/>
    <w:pPr>
      <w:spacing w:before="0" w:after="40" w:line="240" w:lineRule="auto"/>
      <w:jc w:val="both"/>
      <w:outlineLvl w:val="9"/>
    </w:pPr>
    <w:rPr>
      <w:rFonts w:ascii="Helvetica" w:eastAsia="Times New Roman" w:hAnsi="Helvetica" w:cs="Times New Roman"/>
      <w:bCs w:val="0"/>
      <w:smallCaps/>
      <w:kern w:val="28"/>
      <w:sz w:val="28"/>
      <w:szCs w:val="20"/>
      <w:lang w:val="en-US"/>
    </w:rPr>
  </w:style>
  <w:style w:type="paragraph" w:customStyle="1" w:styleId="SHERONAQ">
    <w:name w:val="SHERONAQ"/>
    <w:basedOn w:val="Normal"/>
    <w:rsid w:val="00D97046"/>
    <w:pPr>
      <w:numPr>
        <w:numId w:val="3"/>
      </w:numPr>
      <w:spacing w:after="0" w:line="240" w:lineRule="auto"/>
    </w:pPr>
    <w:rPr>
      <w:rFonts w:eastAsia="Times New Roman" w:cs="Times New Roman"/>
      <w:sz w:val="24"/>
      <w:szCs w:val="20"/>
    </w:rPr>
  </w:style>
  <w:style w:type="character" w:styleId="Strong">
    <w:name w:val="Strong"/>
    <w:uiPriority w:val="22"/>
    <w:qFormat/>
    <w:rsid w:val="00187958"/>
    <w:rPr>
      <w:b/>
      <w:bCs/>
    </w:rPr>
  </w:style>
  <w:style w:type="character" w:customStyle="1" w:styleId="A2">
    <w:name w:val="A2"/>
    <w:uiPriority w:val="99"/>
    <w:rsid w:val="00187958"/>
    <w:rPr>
      <w:rFonts w:cs="Swift"/>
      <w:color w:val="211D1E"/>
      <w:sz w:val="16"/>
      <w:szCs w:val="16"/>
    </w:rPr>
  </w:style>
  <w:style w:type="paragraph" w:styleId="BalloonText">
    <w:name w:val="Balloon Text"/>
    <w:basedOn w:val="Normal"/>
    <w:link w:val="BalloonTextChar"/>
    <w:uiPriority w:val="99"/>
    <w:semiHidden/>
    <w:unhideWhenUsed/>
    <w:rsid w:val="0016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D5"/>
    <w:rPr>
      <w:rFonts w:ascii="Tahoma" w:hAnsi="Tahoma" w:cs="Tahoma"/>
      <w:sz w:val="16"/>
      <w:szCs w:val="16"/>
    </w:rPr>
  </w:style>
  <w:style w:type="character" w:styleId="Emphasis">
    <w:name w:val="Emphasis"/>
    <w:uiPriority w:val="20"/>
    <w:qFormat/>
    <w:rsid w:val="00C12D3E"/>
    <w:rPr>
      <w:i/>
      <w:iCs/>
    </w:rPr>
  </w:style>
  <w:style w:type="character" w:customStyle="1" w:styleId="personname">
    <w:name w:val="person_name"/>
    <w:rsid w:val="00C12D3E"/>
  </w:style>
  <w:style w:type="character" w:styleId="FollowedHyperlink">
    <w:name w:val="FollowedHyperlink"/>
    <w:basedOn w:val="DefaultParagraphFont"/>
    <w:uiPriority w:val="99"/>
    <w:semiHidden/>
    <w:unhideWhenUsed/>
    <w:rsid w:val="00DD5C5B"/>
    <w:rPr>
      <w:color w:val="800080" w:themeColor="followedHyperlink"/>
      <w:u w:val="single"/>
    </w:rPr>
  </w:style>
  <w:style w:type="character" w:customStyle="1" w:styleId="article-headermeta-info-label">
    <w:name w:val="article-header__meta-info-label"/>
    <w:basedOn w:val="DefaultParagraphFont"/>
    <w:rsid w:val="00665F04"/>
  </w:style>
  <w:style w:type="character" w:customStyle="1" w:styleId="article-headermeta-info-data">
    <w:name w:val="article-header__meta-info-data"/>
    <w:basedOn w:val="DefaultParagraphFont"/>
    <w:rsid w:val="00665F04"/>
  </w:style>
  <w:style w:type="character" w:customStyle="1" w:styleId="slug-doi">
    <w:name w:val="slug-doi"/>
    <w:basedOn w:val="DefaultParagraphFont"/>
    <w:rsid w:val="00D6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46754">
      <w:bodyDiv w:val="1"/>
      <w:marLeft w:val="0"/>
      <w:marRight w:val="0"/>
      <w:marTop w:val="0"/>
      <w:marBottom w:val="0"/>
      <w:divBdr>
        <w:top w:val="none" w:sz="0" w:space="0" w:color="auto"/>
        <w:left w:val="none" w:sz="0" w:space="0" w:color="auto"/>
        <w:bottom w:val="none" w:sz="0" w:space="0" w:color="auto"/>
        <w:right w:val="none" w:sz="0" w:space="0" w:color="auto"/>
      </w:divBdr>
    </w:div>
    <w:div w:id="885407195">
      <w:bodyDiv w:val="1"/>
      <w:marLeft w:val="0"/>
      <w:marRight w:val="0"/>
      <w:marTop w:val="0"/>
      <w:marBottom w:val="0"/>
      <w:divBdr>
        <w:top w:val="none" w:sz="0" w:space="0" w:color="auto"/>
        <w:left w:val="none" w:sz="0" w:space="0" w:color="auto"/>
        <w:bottom w:val="none" w:sz="0" w:space="0" w:color="auto"/>
        <w:right w:val="none" w:sz="0" w:space="0" w:color="auto"/>
      </w:divBdr>
      <w:divsChild>
        <w:div w:id="1469664855">
          <w:marLeft w:val="0"/>
          <w:marRight w:val="0"/>
          <w:marTop w:val="0"/>
          <w:marBottom w:val="0"/>
          <w:divBdr>
            <w:top w:val="none" w:sz="0" w:space="0" w:color="auto"/>
            <w:left w:val="none" w:sz="0" w:space="0" w:color="auto"/>
            <w:bottom w:val="none" w:sz="0" w:space="0" w:color="auto"/>
            <w:right w:val="none" w:sz="0" w:space="0" w:color="auto"/>
          </w:divBdr>
          <w:divsChild>
            <w:div w:id="677391152">
              <w:marLeft w:val="0"/>
              <w:marRight w:val="0"/>
              <w:marTop w:val="0"/>
              <w:marBottom w:val="0"/>
              <w:divBdr>
                <w:top w:val="none" w:sz="0" w:space="0" w:color="auto"/>
                <w:left w:val="none" w:sz="0" w:space="0" w:color="auto"/>
                <w:bottom w:val="none" w:sz="0" w:space="0" w:color="auto"/>
                <w:right w:val="none" w:sz="0" w:space="0" w:color="auto"/>
              </w:divBdr>
              <w:divsChild>
                <w:div w:id="761681667">
                  <w:marLeft w:val="0"/>
                  <w:marRight w:val="0"/>
                  <w:marTop w:val="0"/>
                  <w:marBottom w:val="0"/>
                  <w:divBdr>
                    <w:top w:val="none" w:sz="0" w:space="0" w:color="auto"/>
                    <w:left w:val="none" w:sz="0" w:space="0" w:color="auto"/>
                    <w:bottom w:val="none" w:sz="0" w:space="0" w:color="auto"/>
                    <w:right w:val="none" w:sz="0" w:space="0" w:color="auto"/>
                  </w:divBdr>
                  <w:divsChild>
                    <w:div w:id="740104705">
                      <w:marLeft w:val="0"/>
                      <w:marRight w:val="0"/>
                      <w:marTop w:val="0"/>
                      <w:marBottom w:val="0"/>
                      <w:divBdr>
                        <w:top w:val="none" w:sz="0" w:space="0" w:color="auto"/>
                        <w:left w:val="none" w:sz="0" w:space="0" w:color="auto"/>
                        <w:bottom w:val="none" w:sz="0" w:space="0" w:color="auto"/>
                        <w:right w:val="none" w:sz="0" w:space="0" w:color="auto"/>
                      </w:divBdr>
                      <w:divsChild>
                        <w:div w:id="20253964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79933180">
          <w:marLeft w:val="0"/>
          <w:marRight w:val="0"/>
          <w:marTop w:val="450"/>
          <w:marBottom w:val="450"/>
          <w:divBdr>
            <w:top w:val="single" w:sz="6" w:space="0" w:color="E6E6E6"/>
            <w:left w:val="none" w:sz="0" w:space="0" w:color="auto"/>
            <w:bottom w:val="single" w:sz="6" w:space="0" w:color="E6E6E6"/>
            <w:right w:val="none" w:sz="0" w:space="0" w:color="auto"/>
          </w:divBdr>
        </w:div>
      </w:divsChild>
    </w:div>
    <w:div w:id="176372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heacademy.ac.uk/sites/default/files/developingundergraduate_final.pdf" TargetMode="External"/><Relationship Id="rId18" Type="http://schemas.openxmlformats.org/officeDocument/2006/relationships/hyperlink" Target="https://rsc-research.fluidreview.com/" TargetMode="External"/><Relationship Id="rId3" Type="http://schemas.microsoft.com/office/2007/relationships/stylesWithEffects" Target="stylesWithEffects.xml"/><Relationship Id="rId21" Type="http://schemas.openxmlformats.org/officeDocument/2006/relationships/hyperlink" Target="https://wellcome.ac.uk/funding/biomedical-vacation-scholarships" TargetMode="External"/><Relationship Id="rId7" Type="http://schemas.openxmlformats.org/officeDocument/2006/relationships/chart" Target="charts/chart2.xml"/><Relationship Id="rId12" Type="http://schemas.openxmlformats.org/officeDocument/2006/relationships/hyperlink" Target="http://www.cur.org/publications/cur_quarterly_index_online_search/?F_Sort=PostDate&amp;SearchBy=Subject&amp;SearchField=Undergraduate&amp;Boolean=PHRASE&amp;SortOrder=DESC" TargetMode="External"/><Relationship Id="rId17" Type="http://schemas.openxmlformats.org/officeDocument/2006/relationships/hyperlink" Target="http://www.agcas.org.uk/assets/download?file=3960&amp;parent=1519" TargetMode="External"/><Relationship Id="rId2" Type="http://schemas.openxmlformats.org/officeDocument/2006/relationships/styles" Target="styles.xml"/><Relationship Id="rId16" Type="http://schemas.openxmlformats.org/officeDocument/2006/relationships/hyperlink" Target="https://www.offa.org.uk/wp-content/uploads/2013/08/Literature-review-of-research-into-WP-to-HE.pdf" TargetMode="External"/><Relationship Id="rId20" Type="http://schemas.openxmlformats.org/officeDocument/2006/relationships/hyperlink" Target="https://dx.doi.org/10.1187%2Fcbe.11-11-0098"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www.epsrc.ac.uk/skills/students/dta/vacationbursaries/" TargetMode="Externa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hyperlink" Target="https://www.sheffield.ac.uk/polopoly_fs/1.532697!/file/SUREResearchProjects20112015.pdf"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dx.doi.org/10.1080/0307507100377770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kufs.kingston.ac.uk\home\Staff\3\KU15123\Faculty%20L%20&amp;%20T\Research%20Internships\By%20schoo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kufs.kingston.ac.uk\home\Staff\3\KU15123\Faculty%20L%20&amp;%20T\Research%20Internships\By%20schoo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kufs.kingston.ac.uk\home\Staff\3\KU15123\Faculty%20L%20&amp;%20T\Research%20Internships\Copy%20of%20Overall%20survey%20data%20analysis%20(sadr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kufs.kingston.ac.uk\home\Staff\3\KU15123\Faculty%20L%20&amp;%20T\Research%20Internships\Copy%20of%20Overall%20survey%20data%20analysis%20(sadr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kufs.kingston.ac.uk\home\Staff\3\KU15123\Faculty%20L%20&amp;%20T\Research%20Internships\Survey%20data%20analysis%20(Improvemen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kufs.kingston.ac.uk\home\Staff\3\KU15123\Faculty%20L%20&amp;%20T\Research%20Internships\Copy%20of%20Survey%20data%20analysis%20(science%20vs%20engineering%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Sheet2!$C$18</c:f>
              <c:strCache>
                <c:ptCount val="1"/>
                <c:pt idx="0">
                  <c:v>projects</c:v>
                </c:pt>
              </c:strCache>
            </c:strRef>
          </c:tx>
          <c:spPr>
            <a:solidFill>
              <a:schemeClr val="tx1">
                <a:lumMod val="95000"/>
                <a:lumOff val="5000"/>
              </a:schemeClr>
            </a:solidFill>
          </c:spPr>
          <c:invertIfNegative val="0"/>
          <c:cat>
            <c:strRef>
              <c:f>Sheet2!$D$17:$K$17</c:f>
              <c:strCache>
                <c:ptCount val="8"/>
                <c:pt idx="0">
                  <c:v>Aero Eng </c:v>
                </c:pt>
                <c:pt idx="1">
                  <c:v>Comp</c:v>
                </c:pt>
                <c:pt idx="2">
                  <c:v>Geog</c:v>
                </c:pt>
                <c:pt idx="3">
                  <c:v>Maths</c:v>
                </c:pt>
                <c:pt idx="4">
                  <c:v>Mech Eng</c:v>
                </c:pt>
                <c:pt idx="5">
                  <c:v>Pharm/Chem</c:v>
                </c:pt>
                <c:pt idx="6">
                  <c:v>Life Sci</c:v>
                </c:pt>
                <c:pt idx="7">
                  <c:v>Civil Eng</c:v>
                </c:pt>
              </c:strCache>
            </c:strRef>
          </c:cat>
          <c:val>
            <c:numRef>
              <c:f>Sheet2!$D$18:$K$18</c:f>
              <c:numCache>
                <c:formatCode>General</c:formatCode>
                <c:ptCount val="8"/>
                <c:pt idx="0">
                  <c:v>9</c:v>
                </c:pt>
                <c:pt idx="1">
                  <c:v>6</c:v>
                </c:pt>
                <c:pt idx="2">
                  <c:v>4</c:v>
                </c:pt>
                <c:pt idx="3">
                  <c:v>13</c:v>
                </c:pt>
                <c:pt idx="4">
                  <c:v>11</c:v>
                </c:pt>
                <c:pt idx="5">
                  <c:v>22</c:v>
                </c:pt>
                <c:pt idx="6">
                  <c:v>26</c:v>
                </c:pt>
                <c:pt idx="7">
                  <c:v>6</c:v>
                </c:pt>
              </c:numCache>
            </c:numRef>
          </c:val>
        </c:ser>
        <c:ser>
          <c:idx val="1"/>
          <c:order val="1"/>
          <c:tx>
            <c:strRef>
              <c:f>Sheet2!$C$19</c:f>
              <c:strCache>
                <c:ptCount val="1"/>
                <c:pt idx="0">
                  <c:v>apps</c:v>
                </c:pt>
              </c:strCache>
            </c:strRef>
          </c:tx>
          <c:spPr>
            <a:solidFill>
              <a:schemeClr val="bg1">
                <a:lumMod val="50000"/>
              </a:schemeClr>
            </a:solidFill>
          </c:spPr>
          <c:invertIfNegative val="0"/>
          <c:cat>
            <c:strRef>
              <c:f>Sheet2!$D$17:$K$17</c:f>
              <c:strCache>
                <c:ptCount val="8"/>
                <c:pt idx="0">
                  <c:v>Aero Eng </c:v>
                </c:pt>
                <c:pt idx="1">
                  <c:v>Comp</c:v>
                </c:pt>
                <c:pt idx="2">
                  <c:v>Geog</c:v>
                </c:pt>
                <c:pt idx="3">
                  <c:v>Maths</c:v>
                </c:pt>
                <c:pt idx="4">
                  <c:v>Mech Eng</c:v>
                </c:pt>
                <c:pt idx="5">
                  <c:v>Pharm/Chem</c:v>
                </c:pt>
                <c:pt idx="6">
                  <c:v>Life Sci</c:v>
                </c:pt>
                <c:pt idx="7">
                  <c:v>Civil Eng</c:v>
                </c:pt>
              </c:strCache>
            </c:strRef>
          </c:cat>
          <c:val>
            <c:numRef>
              <c:f>Sheet2!$D$19:$K$19</c:f>
              <c:numCache>
                <c:formatCode>General</c:formatCode>
                <c:ptCount val="8"/>
                <c:pt idx="0">
                  <c:v>14</c:v>
                </c:pt>
                <c:pt idx="1">
                  <c:v>5</c:v>
                </c:pt>
                <c:pt idx="2">
                  <c:v>12</c:v>
                </c:pt>
                <c:pt idx="3">
                  <c:v>9</c:v>
                </c:pt>
                <c:pt idx="4">
                  <c:v>4</c:v>
                </c:pt>
                <c:pt idx="5">
                  <c:v>90</c:v>
                </c:pt>
                <c:pt idx="6">
                  <c:v>52</c:v>
                </c:pt>
                <c:pt idx="7">
                  <c:v>4</c:v>
                </c:pt>
              </c:numCache>
            </c:numRef>
          </c:val>
        </c:ser>
        <c:ser>
          <c:idx val="2"/>
          <c:order val="2"/>
          <c:tx>
            <c:strRef>
              <c:f>Sheet2!$C$20</c:f>
              <c:strCache>
                <c:ptCount val="1"/>
                <c:pt idx="0">
                  <c:v>Interns</c:v>
                </c:pt>
              </c:strCache>
            </c:strRef>
          </c:tx>
          <c:spPr>
            <a:solidFill>
              <a:schemeClr val="bg1"/>
            </a:solidFill>
            <a:ln>
              <a:solidFill>
                <a:sysClr val="windowText" lastClr="000000"/>
              </a:solidFill>
            </a:ln>
          </c:spPr>
          <c:invertIfNegative val="0"/>
          <c:cat>
            <c:strRef>
              <c:f>Sheet2!$D$17:$K$17</c:f>
              <c:strCache>
                <c:ptCount val="8"/>
                <c:pt idx="0">
                  <c:v>Aero Eng </c:v>
                </c:pt>
                <c:pt idx="1">
                  <c:v>Comp</c:v>
                </c:pt>
                <c:pt idx="2">
                  <c:v>Geog</c:v>
                </c:pt>
                <c:pt idx="3">
                  <c:v>Maths</c:v>
                </c:pt>
                <c:pt idx="4">
                  <c:v>Mech Eng</c:v>
                </c:pt>
                <c:pt idx="5">
                  <c:v>Pharm/Chem</c:v>
                </c:pt>
                <c:pt idx="6">
                  <c:v>Life Sci</c:v>
                </c:pt>
                <c:pt idx="7">
                  <c:v>Civil Eng</c:v>
                </c:pt>
              </c:strCache>
            </c:strRef>
          </c:cat>
          <c:val>
            <c:numRef>
              <c:f>Sheet2!$D$20:$K$20</c:f>
              <c:numCache>
                <c:formatCode>General</c:formatCode>
                <c:ptCount val="8"/>
                <c:pt idx="0">
                  <c:v>5</c:v>
                </c:pt>
                <c:pt idx="1">
                  <c:v>2</c:v>
                </c:pt>
                <c:pt idx="2">
                  <c:v>4</c:v>
                </c:pt>
                <c:pt idx="3">
                  <c:v>3</c:v>
                </c:pt>
                <c:pt idx="4">
                  <c:v>2</c:v>
                </c:pt>
                <c:pt idx="5">
                  <c:v>13</c:v>
                </c:pt>
                <c:pt idx="6">
                  <c:v>14</c:v>
                </c:pt>
                <c:pt idx="7">
                  <c:v>2</c:v>
                </c:pt>
              </c:numCache>
            </c:numRef>
          </c:val>
        </c:ser>
        <c:dLbls>
          <c:showLegendKey val="0"/>
          <c:showVal val="0"/>
          <c:showCatName val="0"/>
          <c:showSerName val="0"/>
          <c:showPercent val="0"/>
          <c:showBubbleSize val="0"/>
        </c:dLbls>
        <c:gapWidth val="150"/>
        <c:axId val="76612736"/>
        <c:axId val="76832768"/>
      </c:barChart>
      <c:catAx>
        <c:axId val="76612736"/>
        <c:scaling>
          <c:orientation val="minMax"/>
        </c:scaling>
        <c:delete val="0"/>
        <c:axPos val="b"/>
        <c:title>
          <c:tx>
            <c:rich>
              <a:bodyPr/>
              <a:lstStyle/>
              <a:p>
                <a:pPr>
                  <a:defRPr/>
                </a:pPr>
                <a:r>
                  <a:rPr lang="en-US"/>
                  <a:t>Depart</a:t>
                </a:r>
                <a:r>
                  <a:rPr lang="en-US" baseline="0"/>
                  <a:t>ment</a:t>
                </a:r>
                <a:endParaRPr lang="en-US"/>
              </a:p>
            </c:rich>
          </c:tx>
          <c:layout/>
          <c:overlay val="0"/>
        </c:title>
        <c:majorTickMark val="out"/>
        <c:minorTickMark val="none"/>
        <c:tickLblPos val="nextTo"/>
        <c:crossAx val="76832768"/>
        <c:crosses val="autoZero"/>
        <c:auto val="1"/>
        <c:lblAlgn val="ctr"/>
        <c:lblOffset val="100"/>
        <c:noMultiLvlLbl val="0"/>
      </c:catAx>
      <c:valAx>
        <c:axId val="76832768"/>
        <c:scaling>
          <c:orientation val="minMax"/>
        </c:scaling>
        <c:delete val="0"/>
        <c:axPos val="l"/>
        <c:majorGridlines/>
        <c:numFmt formatCode="General" sourceLinked="1"/>
        <c:majorTickMark val="out"/>
        <c:minorTickMark val="none"/>
        <c:tickLblPos val="nextTo"/>
        <c:crossAx val="76612736"/>
        <c:crosses val="autoZero"/>
        <c:crossBetween val="between"/>
      </c:valAx>
    </c:plotArea>
    <c:legend>
      <c:legendPos val="r"/>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Sheet1!$C$13</c:f>
              <c:strCache>
                <c:ptCount val="1"/>
                <c:pt idx="0">
                  <c:v>projects</c:v>
                </c:pt>
              </c:strCache>
            </c:strRef>
          </c:tx>
          <c:spPr>
            <a:solidFill>
              <a:schemeClr val="tx1"/>
            </a:solidFill>
          </c:spPr>
          <c:invertIfNegative val="0"/>
          <c:cat>
            <c:strRef>
              <c:f>Sheet1!$D$12:$K$12</c:f>
              <c:strCache>
                <c:ptCount val="8"/>
                <c:pt idx="0">
                  <c:v>Aero Eng</c:v>
                </c:pt>
                <c:pt idx="1">
                  <c:v>Comp</c:v>
                </c:pt>
                <c:pt idx="2">
                  <c:v>Geog</c:v>
                </c:pt>
                <c:pt idx="3">
                  <c:v>Maths</c:v>
                </c:pt>
                <c:pt idx="4">
                  <c:v>Mech Eng</c:v>
                </c:pt>
                <c:pt idx="5">
                  <c:v>Pharm/Chem</c:v>
                </c:pt>
                <c:pt idx="6">
                  <c:v>Life Sci</c:v>
                </c:pt>
                <c:pt idx="7">
                  <c:v>Civil Eng</c:v>
                </c:pt>
              </c:strCache>
            </c:strRef>
          </c:cat>
          <c:val>
            <c:numRef>
              <c:f>Sheet1!$D$13:$K$13</c:f>
              <c:numCache>
                <c:formatCode>General</c:formatCode>
                <c:ptCount val="8"/>
                <c:pt idx="0">
                  <c:v>10</c:v>
                </c:pt>
                <c:pt idx="1">
                  <c:v>3</c:v>
                </c:pt>
                <c:pt idx="2">
                  <c:v>5</c:v>
                </c:pt>
                <c:pt idx="3">
                  <c:v>7</c:v>
                </c:pt>
                <c:pt idx="4">
                  <c:v>21</c:v>
                </c:pt>
                <c:pt idx="5">
                  <c:v>11</c:v>
                </c:pt>
                <c:pt idx="6">
                  <c:v>39</c:v>
                </c:pt>
                <c:pt idx="7">
                  <c:v>10</c:v>
                </c:pt>
              </c:numCache>
            </c:numRef>
          </c:val>
        </c:ser>
        <c:ser>
          <c:idx val="1"/>
          <c:order val="1"/>
          <c:tx>
            <c:strRef>
              <c:f>Sheet1!$C$14</c:f>
              <c:strCache>
                <c:ptCount val="1"/>
                <c:pt idx="0">
                  <c:v>apps</c:v>
                </c:pt>
              </c:strCache>
            </c:strRef>
          </c:tx>
          <c:spPr>
            <a:solidFill>
              <a:schemeClr val="bg1">
                <a:lumMod val="50000"/>
              </a:schemeClr>
            </a:solidFill>
            <a:ln>
              <a:solidFill>
                <a:schemeClr val="bg1">
                  <a:lumMod val="50000"/>
                </a:schemeClr>
              </a:solidFill>
            </a:ln>
          </c:spPr>
          <c:invertIfNegative val="0"/>
          <c:cat>
            <c:strRef>
              <c:f>Sheet1!$D$12:$K$12</c:f>
              <c:strCache>
                <c:ptCount val="8"/>
                <c:pt idx="0">
                  <c:v>Aero Eng</c:v>
                </c:pt>
                <c:pt idx="1">
                  <c:v>Comp</c:v>
                </c:pt>
                <c:pt idx="2">
                  <c:v>Geog</c:v>
                </c:pt>
                <c:pt idx="3">
                  <c:v>Maths</c:v>
                </c:pt>
                <c:pt idx="4">
                  <c:v>Mech Eng</c:v>
                </c:pt>
                <c:pt idx="5">
                  <c:v>Pharm/Chem</c:v>
                </c:pt>
                <c:pt idx="6">
                  <c:v>Life Sci</c:v>
                </c:pt>
                <c:pt idx="7">
                  <c:v>Civil Eng</c:v>
                </c:pt>
              </c:strCache>
            </c:strRef>
          </c:cat>
          <c:val>
            <c:numRef>
              <c:f>Sheet1!$D$14:$K$14</c:f>
              <c:numCache>
                <c:formatCode>General</c:formatCode>
                <c:ptCount val="8"/>
                <c:pt idx="0">
                  <c:v>14</c:v>
                </c:pt>
                <c:pt idx="1">
                  <c:v>5</c:v>
                </c:pt>
                <c:pt idx="2">
                  <c:v>4</c:v>
                </c:pt>
                <c:pt idx="3">
                  <c:v>4</c:v>
                </c:pt>
                <c:pt idx="4">
                  <c:v>4</c:v>
                </c:pt>
                <c:pt idx="5">
                  <c:v>48</c:v>
                </c:pt>
                <c:pt idx="6">
                  <c:v>33</c:v>
                </c:pt>
                <c:pt idx="7">
                  <c:v>14</c:v>
                </c:pt>
              </c:numCache>
            </c:numRef>
          </c:val>
        </c:ser>
        <c:ser>
          <c:idx val="2"/>
          <c:order val="2"/>
          <c:tx>
            <c:strRef>
              <c:f>Sheet1!$C$15</c:f>
              <c:strCache>
                <c:ptCount val="1"/>
                <c:pt idx="0">
                  <c:v>Interns</c:v>
                </c:pt>
              </c:strCache>
            </c:strRef>
          </c:tx>
          <c:spPr>
            <a:solidFill>
              <a:schemeClr val="bg1"/>
            </a:solidFill>
            <a:ln>
              <a:solidFill>
                <a:sysClr val="windowText" lastClr="000000"/>
              </a:solidFill>
            </a:ln>
          </c:spPr>
          <c:invertIfNegative val="0"/>
          <c:cat>
            <c:strRef>
              <c:f>Sheet1!$D$12:$K$12</c:f>
              <c:strCache>
                <c:ptCount val="8"/>
                <c:pt idx="0">
                  <c:v>Aero Eng</c:v>
                </c:pt>
                <c:pt idx="1">
                  <c:v>Comp</c:v>
                </c:pt>
                <c:pt idx="2">
                  <c:v>Geog</c:v>
                </c:pt>
                <c:pt idx="3">
                  <c:v>Maths</c:v>
                </c:pt>
                <c:pt idx="4">
                  <c:v>Mech Eng</c:v>
                </c:pt>
                <c:pt idx="5">
                  <c:v>Pharm/Chem</c:v>
                </c:pt>
                <c:pt idx="6">
                  <c:v>Life Sci</c:v>
                </c:pt>
                <c:pt idx="7">
                  <c:v>Civil Eng</c:v>
                </c:pt>
              </c:strCache>
            </c:strRef>
          </c:cat>
          <c:val>
            <c:numRef>
              <c:f>Sheet1!$D$15:$K$15</c:f>
              <c:numCache>
                <c:formatCode>General</c:formatCode>
                <c:ptCount val="8"/>
                <c:pt idx="0">
                  <c:v>7</c:v>
                </c:pt>
                <c:pt idx="1">
                  <c:v>2</c:v>
                </c:pt>
                <c:pt idx="2">
                  <c:v>2</c:v>
                </c:pt>
                <c:pt idx="3">
                  <c:v>2</c:v>
                </c:pt>
                <c:pt idx="4">
                  <c:v>3</c:v>
                </c:pt>
                <c:pt idx="5">
                  <c:v>11</c:v>
                </c:pt>
                <c:pt idx="6">
                  <c:v>11</c:v>
                </c:pt>
                <c:pt idx="7">
                  <c:v>8</c:v>
                </c:pt>
              </c:numCache>
            </c:numRef>
          </c:val>
        </c:ser>
        <c:dLbls>
          <c:showLegendKey val="0"/>
          <c:showVal val="0"/>
          <c:showCatName val="0"/>
          <c:showSerName val="0"/>
          <c:showPercent val="0"/>
          <c:showBubbleSize val="0"/>
        </c:dLbls>
        <c:gapWidth val="150"/>
        <c:axId val="78409728"/>
        <c:axId val="78412032"/>
      </c:barChart>
      <c:catAx>
        <c:axId val="78409728"/>
        <c:scaling>
          <c:orientation val="minMax"/>
        </c:scaling>
        <c:delete val="0"/>
        <c:axPos val="b"/>
        <c:title>
          <c:tx>
            <c:rich>
              <a:bodyPr/>
              <a:lstStyle/>
              <a:p>
                <a:pPr>
                  <a:defRPr/>
                </a:pPr>
                <a:r>
                  <a:rPr lang="en-GB"/>
                  <a:t>Department</a:t>
                </a:r>
              </a:p>
            </c:rich>
          </c:tx>
          <c:layout/>
          <c:overlay val="0"/>
        </c:title>
        <c:majorTickMark val="none"/>
        <c:minorTickMark val="none"/>
        <c:tickLblPos val="nextTo"/>
        <c:txPr>
          <a:bodyPr/>
          <a:lstStyle/>
          <a:p>
            <a:pPr>
              <a:defRPr>
                <a:latin typeface="+mn-lt"/>
                <a:cs typeface="Arial" panose="020B0604020202020204" pitchFamily="34" charset="0"/>
              </a:defRPr>
            </a:pPr>
            <a:endParaRPr lang="en-US"/>
          </a:p>
        </c:txPr>
        <c:crossAx val="78412032"/>
        <c:crosses val="autoZero"/>
        <c:auto val="1"/>
        <c:lblAlgn val="ctr"/>
        <c:lblOffset val="100"/>
        <c:noMultiLvlLbl val="0"/>
      </c:catAx>
      <c:valAx>
        <c:axId val="78412032"/>
        <c:scaling>
          <c:orientation val="minMax"/>
          <c:max val="50"/>
        </c:scaling>
        <c:delete val="0"/>
        <c:axPos val="l"/>
        <c:majorGridlines/>
        <c:numFmt formatCode="General" sourceLinked="1"/>
        <c:majorTickMark val="none"/>
        <c:minorTickMark val="none"/>
        <c:tickLblPos val="nextTo"/>
        <c:txPr>
          <a:bodyPr/>
          <a:lstStyle/>
          <a:p>
            <a:pPr>
              <a:defRPr>
                <a:latin typeface="+mn-lt"/>
                <a:cs typeface="Times New Roman" panose="02020603050405020304" pitchFamily="18" charset="0"/>
              </a:defRPr>
            </a:pPr>
            <a:endParaRPr lang="en-US"/>
          </a:p>
        </c:txPr>
        <c:crossAx val="78409728"/>
        <c:crosses val="autoZero"/>
        <c:crossBetween val="between"/>
      </c:valAx>
    </c:plotArea>
    <c:legend>
      <c:legendPos val="r"/>
      <c:layout/>
      <c:overlay val="0"/>
      <c:txPr>
        <a:bodyPr/>
        <a:lstStyle/>
        <a:p>
          <a:pPr>
            <a:defRPr>
              <a:latin typeface="+mn-lt"/>
              <a:cs typeface="Arial" panose="020B0604020202020204" pitchFamily="34" charset="0"/>
            </a:defRPr>
          </a:pPr>
          <a:endParaRPr lang="en-US"/>
        </a:p>
      </c:txPr>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Sheet1!$G$51</c:f>
              <c:strCache>
                <c:ptCount val="1"/>
                <c:pt idx="0">
                  <c:v>Mean </c:v>
                </c:pt>
              </c:strCache>
            </c:strRef>
          </c:tx>
          <c:spPr>
            <a:solidFill>
              <a:schemeClr val="tx1"/>
            </a:solidFill>
          </c:spPr>
          <c:invertIfNegative val="0"/>
          <c:cat>
            <c:strRef>
              <c:f>Sheet1!$F$52:$F$65</c:f>
              <c:strCache>
                <c:ptCount val="14"/>
                <c:pt idx="0">
                  <c:v>Working independently</c:v>
                </c:pt>
                <c:pt idx="1">
                  <c:v>Project management skills</c:v>
                </c:pt>
                <c:pt idx="2">
                  <c:v>Time management skills</c:v>
                </c:pt>
                <c:pt idx="3">
                  <c:v>Read  primary literature </c:v>
                </c:pt>
                <c:pt idx="4">
                  <c:v>Ability to interpret results</c:v>
                </c:pt>
                <c:pt idx="5">
                  <c:v>Overcoming  obstacles </c:v>
                </c:pt>
                <c:pt idx="6">
                  <c:v>Self confidence </c:v>
                </c:pt>
                <c:pt idx="7">
                  <c:v>Scientific writing </c:v>
                </c:pt>
                <c:pt idx="8">
                  <c:v>Career path </c:v>
                </c:pt>
                <c:pt idx="9">
                  <c:v>Planning experiments</c:v>
                </c:pt>
                <c:pt idx="10">
                  <c:v>Working in small teams</c:v>
                </c:pt>
                <c:pt idx="11">
                  <c:v>Practical skills </c:v>
                </c:pt>
                <c:pt idx="12">
                  <c:v>Keeping lab book</c:v>
                </c:pt>
                <c:pt idx="13">
                  <c:v>Oral presentation </c:v>
                </c:pt>
              </c:strCache>
            </c:strRef>
          </c:cat>
          <c:val>
            <c:numRef>
              <c:f>Sheet1!$G$52:$G$65</c:f>
              <c:numCache>
                <c:formatCode>General</c:formatCode>
                <c:ptCount val="14"/>
                <c:pt idx="0">
                  <c:v>4.26</c:v>
                </c:pt>
                <c:pt idx="1">
                  <c:v>4.17</c:v>
                </c:pt>
                <c:pt idx="2">
                  <c:v>4.09</c:v>
                </c:pt>
                <c:pt idx="3">
                  <c:v>4.09</c:v>
                </c:pt>
                <c:pt idx="4">
                  <c:v>3.96</c:v>
                </c:pt>
                <c:pt idx="5">
                  <c:v>3.96</c:v>
                </c:pt>
                <c:pt idx="6">
                  <c:v>3.96</c:v>
                </c:pt>
                <c:pt idx="7">
                  <c:v>3.65</c:v>
                </c:pt>
                <c:pt idx="8">
                  <c:v>3.48</c:v>
                </c:pt>
                <c:pt idx="9">
                  <c:v>3.17</c:v>
                </c:pt>
                <c:pt idx="10">
                  <c:v>3.17</c:v>
                </c:pt>
                <c:pt idx="11">
                  <c:v>3</c:v>
                </c:pt>
                <c:pt idx="12">
                  <c:v>2.96</c:v>
                </c:pt>
                <c:pt idx="13">
                  <c:v>2.17</c:v>
                </c:pt>
              </c:numCache>
            </c:numRef>
          </c:val>
        </c:ser>
        <c:dLbls>
          <c:showLegendKey val="0"/>
          <c:showVal val="0"/>
          <c:showCatName val="0"/>
          <c:showSerName val="0"/>
          <c:showPercent val="0"/>
          <c:showBubbleSize val="0"/>
        </c:dLbls>
        <c:gapWidth val="150"/>
        <c:axId val="78762368"/>
        <c:axId val="78763904"/>
      </c:barChart>
      <c:catAx>
        <c:axId val="78762368"/>
        <c:scaling>
          <c:orientation val="minMax"/>
        </c:scaling>
        <c:delete val="0"/>
        <c:axPos val="b"/>
        <c:majorTickMark val="out"/>
        <c:minorTickMark val="none"/>
        <c:tickLblPos val="nextTo"/>
        <c:crossAx val="78763904"/>
        <c:crosses val="autoZero"/>
        <c:auto val="1"/>
        <c:lblAlgn val="ctr"/>
        <c:lblOffset val="100"/>
        <c:noMultiLvlLbl val="0"/>
      </c:catAx>
      <c:valAx>
        <c:axId val="78763904"/>
        <c:scaling>
          <c:orientation val="minMax"/>
          <c:min val="1.5"/>
        </c:scaling>
        <c:delete val="0"/>
        <c:axPos val="l"/>
        <c:majorGridlines/>
        <c:title>
          <c:tx>
            <c:rich>
              <a:bodyPr rot="-5400000" vert="horz"/>
              <a:lstStyle/>
              <a:p>
                <a:pPr>
                  <a:defRPr b="0"/>
                </a:pPr>
                <a:r>
                  <a:rPr lang="en-GB" b="0"/>
                  <a:t>Mean</a:t>
                </a:r>
                <a:r>
                  <a:rPr lang="en-GB" b="0" baseline="0"/>
                  <a:t> gain</a:t>
                </a:r>
                <a:endParaRPr lang="en-GB" b="0"/>
              </a:p>
            </c:rich>
          </c:tx>
          <c:layout/>
          <c:overlay val="0"/>
        </c:title>
        <c:numFmt formatCode="General" sourceLinked="1"/>
        <c:majorTickMark val="out"/>
        <c:minorTickMark val="none"/>
        <c:tickLblPos val="nextTo"/>
        <c:crossAx val="78762368"/>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Sheet1!$A$30</c:f>
              <c:strCache>
                <c:ptCount val="1"/>
                <c:pt idx="0">
                  <c:v>5</c:v>
                </c:pt>
              </c:strCache>
            </c:strRef>
          </c:tx>
          <c:invertIfNegative val="0"/>
          <c:cat>
            <c:strRef>
              <c:f>Sheet1!$B$29:$H$29</c:f>
              <c:strCache>
                <c:ptCount val="7"/>
                <c:pt idx="0">
                  <c:v>Project management</c:v>
                </c:pt>
                <c:pt idx="1">
                  <c:v>Time management skills</c:v>
                </c:pt>
                <c:pt idx="2">
                  <c:v>Planning exp</c:v>
                </c:pt>
                <c:pt idx="3">
                  <c:v>Practical skills </c:v>
                </c:pt>
                <c:pt idx="4">
                  <c:v>Keeping lab book</c:v>
                </c:pt>
                <c:pt idx="5">
                  <c:v>Self confidence </c:v>
                </c:pt>
                <c:pt idx="6">
                  <c:v>Working independently</c:v>
                </c:pt>
              </c:strCache>
            </c:strRef>
          </c:cat>
          <c:val>
            <c:numRef>
              <c:f>Sheet1!$B$30:$H$30</c:f>
              <c:numCache>
                <c:formatCode>General</c:formatCode>
                <c:ptCount val="7"/>
                <c:pt idx="0">
                  <c:v>12</c:v>
                </c:pt>
                <c:pt idx="1">
                  <c:v>12</c:v>
                </c:pt>
                <c:pt idx="2">
                  <c:v>8</c:v>
                </c:pt>
                <c:pt idx="3">
                  <c:v>8</c:v>
                </c:pt>
                <c:pt idx="4">
                  <c:v>10</c:v>
                </c:pt>
                <c:pt idx="5">
                  <c:v>12</c:v>
                </c:pt>
                <c:pt idx="6">
                  <c:v>15</c:v>
                </c:pt>
              </c:numCache>
            </c:numRef>
          </c:val>
        </c:ser>
        <c:ser>
          <c:idx val="1"/>
          <c:order val="1"/>
          <c:tx>
            <c:strRef>
              <c:f>Sheet1!$A$31</c:f>
              <c:strCache>
                <c:ptCount val="1"/>
                <c:pt idx="0">
                  <c:v>4</c:v>
                </c:pt>
              </c:strCache>
            </c:strRef>
          </c:tx>
          <c:spPr>
            <a:pattFill prst="wdDnDiag">
              <a:fgClr>
                <a:schemeClr val="tx1">
                  <a:lumMod val="65000"/>
                  <a:lumOff val="35000"/>
                </a:schemeClr>
              </a:fgClr>
              <a:bgClr>
                <a:schemeClr val="bg1"/>
              </a:bgClr>
            </a:pattFill>
          </c:spPr>
          <c:invertIfNegative val="0"/>
          <c:cat>
            <c:strRef>
              <c:f>Sheet1!$B$29:$H$29</c:f>
              <c:strCache>
                <c:ptCount val="7"/>
                <c:pt idx="0">
                  <c:v>Project management</c:v>
                </c:pt>
                <c:pt idx="1">
                  <c:v>Time management skills</c:v>
                </c:pt>
                <c:pt idx="2">
                  <c:v>Planning exp</c:v>
                </c:pt>
                <c:pt idx="3">
                  <c:v>Practical skills </c:v>
                </c:pt>
                <c:pt idx="4">
                  <c:v>Keeping lab book</c:v>
                </c:pt>
                <c:pt idx="5">
                  <c:v>Self confidence </c:v>
                </c:pt>
                <c:pt idx="6">
                  <c:v>Working independently</c:v>
                </c:pt>
              </c:strCache>
            </c:strRef>
          </c:cat>
          <c:val>
            <c:numRef>
              <c:f>Sheet1!$B$31:$H$31</c:f>
              <c:numCache>
                <c:formatCode>General</c:formatCode>
                <c:ptCount val="7"/>
                <c:pt idx="0">
                  <c:v>6</c:v>
                </c:pt>
                <c:pt idx="1">
                  <c:v>6</c:v>
                </c:pt>
                <c:pt idx="2">
                  <c:v>3</c:v>
                </c:pt>
                <c:pt idx="3">
                  <c:v>5</c:v>
                </c:pt>
                <c:pt idx="4">
                  <c:v>2</c:v>
                </c:pt>
                <c:pt idx="5">
                  <c:v>6</c:v>
                </c:pt>
                <c:pt idx="6">
                  <c:v>4</c:v>
                </c:pt>
              </c:numCache>
            </c:numRef>
          </c:val>
        </c:ser>
        <c:ser>
          <c:idx val="2"/>
          <c:order val="2"/>
          <c:tx>
            <c:strRef>
              <c:f>Sheet1!$A$32</c:f>
              <c:strCache>
                <c:ptCount val="1"/>
                <c:pt idx="0">
                  <c:v>3</c:v>
                </c:pt>
              </c:strCache>
            </c:strRef>
          </c:tx>
          <c:invertIfNegative val="0"/>
          <c:cat>
            <c:strRef>
              <c:f>Sheet1!$B$29:$H$29</c:f>
              <c:strCache>
                <c:ptCount val="7"/>
                <c:pt idx="0">
                  <c:v>Project management</c:v>
                </c:pt>
                <c:pt idx="1">
                  <c:v>Time management skills</c:v>
                </c:pt>
                <c:pt idx="2">
                  <c:v>Planning exp</c:v>
                </c:pt>
                <c:pt idx="3">
                  <c:v>Practical skills </c:v>
                </c:pt>
                <c:pt idx="4">
                  <c:v>Keeping lab book</c:v>
                </c:pt>
                <c:pt idx="5">
                  <c:v>Self confidence </c:v>
                </c:pt>
                <c:pt idx="6">
                  <c:v>Working independently</c:v>
                </c:pt>
              </c:strCache>
            </c:strRef>
          </c:cat>
          <c:val>
            <c:numRef>
              <c:f>Sheet1!$B$32:$H$32</c:f>
              <c:numCache>
                <c:formatCode>General</c:formatCode>
                <c:ptCount val="7"/>
                <c:pt idx="0">
                  <c:v>2</c:v>
                </c:pt>
                <c:pt idx="1">
                  <c:v>1</c:v>
                </c:pt>
                <c:pt idx="2">
                  <c:v>5</c:v>
                </c:pt>
                <c:pt idx="3">
                  <c:v>1</c:v>
                </c:pt>
                <c:pt idx="4">
                  <c:v>1</c:v>
                </c:pt>
                <c:pt idx="6">
                  <c:v>0</c:v>
                </c:pt>
              </c:numCache>
            </c:numRef>
          </c:val>
        </c:ser>
        <c:ser>
          <c:idx val="3"/>
          <c:order val="3"/>
          <c:tx>
            <c:strRef>
              <c:f>Sheet1!$A$33</c:f>
              <c:strCache>
                <c:ptCount val="1"/>
                <c:pt idx="0">
                  <c:v>2</c:v>
                </c:pt>
              </c:strCache>
            </c:strRef>
          </c:tx>
          <c:spPr>
            <a:pattFill prst="dkHorz">
              <a:fgClr>
                <a:schemeClr val="tx1">
                  <a:lumMod val="65000"/>
                  <a:lumOff val="35000"/>
                </a:schemeClr>
              </a:fgClr>
              <a:bgClr>
                <a:schemeClr val="bg1"/>
              </a:bgClr>
            </a:pattFill>
          </c:spPr>
          <c:invertIfNegative val="0"/>
          <c:cat>
            <c:strRef>
              <c:f>Sheet1!$B$29:$H$29</c:f>
              <c:strCache>
                <c:ptCount val="7"/>
                <c:pt idx="0">
                  <c:v>Project management</c:v>
                </c:pt>
                <c:pt idx="1">
                  <c:v>Time management skills</c:v>
                </c:pt>
                <c:pt idx="2">
                  <c:v>Planning exp</c:v>
                </c:pt>
                <c:pt idx="3">
                  <c:v>Practical skills </c:v>
                </c:pt>
                <c:pt idx="4">
                  <c:v>Keeping lab book</c:v>
                </c:pt>
                <c:pt idx="5">
                  <c:v>Self confidence </c:v>
                </c:pt>
                <c:pt idx="6">
                  <c:v>Working independently</c:v>
                </c:pt>
              </c:strCache>
            </c:strRef>
          </c:cat>
          <c:val>
            <c:numRef>
              <c:f>Sheet1!$B$33:$H$33</c:f>
              <c:numCache>
                <c:formatCode>General</c:formatCode>
                <c:ptCount val="7"/>
                <c:pt idx="0">
                  <c:v>3</c:v>
                </c:pt>
                <c:pt idx="1">
                  <c:v>3</c:v>
                </c:pt>
                <c:pt idx="2">
                  <c:v>3</c:v>
                </c:pt>
                <c:pt idx="3">
                  <c:v>2</c:v>
                </c:pt>
                <c:pt idx="4">
                  <c:v>2</c:v>
                </c:pt>
                <c:pt idx="5">
                  <c:v>3</c:v>
                </c:pt>
                <c:pt idx="6">
                  <c:v>3</c:v>
                </c:pt>
              </c:numCache>
            </c:numRef>
          </c:val>
        </c:ser>
        <c:ser>
          <c:idx val="4"/>
          <c:order val="4"/>
          <c:tx>
            <c:strRef>
              <c:f>Sheet1!$A$34</c:f>
              <c:strCache>
                <c:ptCount val="1"/>
                <c:pt idx="0">
                  <c:v>1</c:v>
                </c:pt>
              </c:strCache>
            </c:strRef>
          </c:tx>
          <c:spPr>
            <a:solidFill>
              <a:schemeClr val="bg2">
                <a:lumMod val="75000"/>
              </a:schemeClr>
            </a:solidFill>
          </c:spPr>
          <c:invertIfNegative val="0"/>
          <c:cat>
            <c:strRef>
              <c:f>Sheet1!$B$29:$H$29</c:f>
              <c:strCache>
                <c:ptCount val="7"/>
                <c:pt idx="0">
                  <c:v>Project management</c:v>
                </c:pt>
                <c:pt idx="1">
                  <c:v>Time management skills</c:v>
                </c:pt>
                <c:pt idx="2">
                  <c:v>Planning exp</c:v>
                </c:pt>
                <c:pt idx="3">
                  <c:v>Practical skills </c:v>
                </c:pt>
                <c:pt idx="4">
                  <c:v>Keeping lab book</c:v>
                </c:pt>
                <c:pt idx="5">
                  <c:v>Self confidence </c:v>
                </c:pt>
                <c:pt idx="6">
                  <c:v>Working independently</c:v>
                </c:pt>
              </c:strCache>
            </c:strRef>
          </c:cat>
          <c:val>
            <c:numRef>
              <c:f>Sheet1!$B$34:$H$34</c:f>
              <c:numCache>
                <c:formatCode>General</c:formatCode>
                <c:ptCount val="7"/>
                <c:pt idx="0">
                  <c:v>0</c:v>
                </c:pt>
                <c:pt idx="1">
                  <c:v>1</c:v>
                </c:pt>
                <c:pt idx="2">
                  <c:v>0</c:v>
                </c:pt>
                <c:pt idx="3">
                  <c:v>2</c:v>
                </c:pt>
                <c:pt idx="4">
                  <c:v>3</c:v>
                </c:pt>
                <c:pt idx="5">
                  <c:v>1</c:v>
                </c:pt>
                <c:pt idx="6">
                  <c:v>1</c:v>
                </c:pt>
              </c:numCache>
            </c:numRef>
          </c:val>
        </c:ser>
        <c:ser>
          <c:idx val="5"/>
          <c:order val="5"/>
          <c:tx>
            <c:strRef>
              <c:f>Sheet1!$A$35</c:f>
              <c:strCache>
                <c:ptCount val="1"/>
                <c:pt idx="0">
                  <c:v>0</c:v>
                </c:pt>
              </c:strCache>
            </c:strRef>
          </c:tx>
          <c:spPr>
            <a:pattFill prst="wdUpDiag">
              <a:fgClr>
                <a:schemeClr val="tx1"/>
              </a:fgClr>
              <a:bgClr>
                <a:schemeClr val="bg1"/>
              </a:bgClr>
            </a:pattFill>
          </c:spPr>
          <c:invertIfNegative val="0"/>
          <c:cat>
            <c:strRef>
              <c:f>Sheet1!$B$29:$H$29</c:f>
              <c:strCache>
                <c:ptCount val="7"/>
                <c:pt idx="0">
                  <c:v>Project management</c:v>
                </c:pt>
                <c:pt idx="1">
                  <c:v>Time management skills</c:v>
                </c:pt>
                <c:pt idx="2">
                  <c:v>Planning exp</c:v>
                </c:pt>
                <c:pt idx="3">
                  <c:v>Practical skills </c:v>
                </c:pt>
                <c:pt idx="4">
                  <c:v>Keeping lab book</c:v>
                </c:pt>
                <c:pt idx="5">
                  <c:v>Self confidence </c:v>
                </c:pt>
                <c:pt idx="6">
                  <c:v>Working independently</c:v>
                </c:pt>
              </c:strCache>
            </c:strRef>
          </c:cat>
          <c:val>
            <c:numRef>
              <c:f>Sheet1!$B$35:$H$35</c:f>
              <c:numCache>
                <c:formatCode>General</c:formatCode>
                <c:ptCount val="7"/>
                <c:pt idx="0">
                  <c:v>0</c:v>
                </c:pt>
                <c:pt idx="1">
                  <c:v>0</c:v>
                </c:pt>
                <c:pt idx="2">
                  <c:v>3</c:v>
                </c:pt>
                <c:pt idx="3">
                  <c:v>5</c:v>
                </c:pt>
                <c:pt idx="4">
                  <c:v>5</c:v>
                </c:pt>
                <c:pt idx="6">
                  <c:v>0</c:v>
                </c:pt>
              </c:numCache>
            </c:numRef>
          </c:val>
        </c:ser>
        <c:dLbls>
          <c:showLegendKey val="0"/>
          <c:showVal val="0"/>
          <c:showCatName val="0"/>
          <c:showSerName val="0"/>
          <c:showPercent val="0"/>
          <c:showBubbleSize val="0"/>
        </c:dLbls>
        <c:gapWidth val="150"/>
        <c:axId val="79773696"/>
        <c:axId val="79775616"/>
      </c:barChart>
      <c:catAx>
        <c:axId val="79773696"/>
        <c:scaling>
          <c:orientation val="minMax"/>
        </c:scaling>
        <c:delete val="0"/>
        <c:axPos val="b"/>
        <c:majorTickMark val="out"/>
        <c:minorTickMark val="none"/>
        <c:tickLblPos val="nextTo"/>
        <c:crossAx val="79775616"/>
        <c:crosses val="autoZero"/>
        <c:auto val="1"/>
        <c:lblAlgn val="ctr"/>
        <c:lblOffset val="100"/>
        <c:noMultiLvlLbl val="0"/>
      </c:catAx>
      <c:valAx>
        <c:axId val="79775616"/>
        <c:scaling>
          <c:orientation val="minMax"/>
        </c:scaling>
        <c:delete val="0"/>
        <c:axPos val="l"/>
        <c:majorGridlines/>
        <c:title>
          <c:tx>
            <c:rich>
              <a:bodyPr rot="-5400000" vert="horz"/>
              <a:lstStyle/>
              <a:p>
                <a:pPr>
                  <a:defRPr/>
                </a:pPr>
                <a:r>
                  <a:rPr lang="en-US"/>
                  <a:t>responses</a:t>
                </a:r>
              </a:p>
            </c:rich>
          </c:tx>
          <c:layout/>
          <c:overlay val="0"/>
        </c:title>
        <c:numFmt formatCode="General" sourceLinked="1"/>
        <c:majorTickMark val="out"/>
        <c:minorTickMark val="none"/>
        <c:tickLblPos val="nextTo"/>
        <c:crossAx val="79773696"/>
        <c:crosses val="autoZero"/>
        <c:crossBetween val="between"/>
      </c:valAx>
    </c:plotArea>
    <c:legend>
      <c:legendPos val="r"/>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Sheet1!$B$29</c:f>
              <c:strCache>
                <c:ptCount val="1"/>
                <c:pt idx="0">
                  <c:v>strongly agree</c:v>
                </c:pt>
              </c:strCache>
            </c:strRef>
          </c:tx>
          <c:spPr>
            <a:solidFill>
              <a:schemeClr val="tx1">
                <a:lumMod val="95000"/>
                <a:lumOff val="5000"/>
              </a:schemeClr>
            </a:solidFill>
          </c:spPr>
          <c:invertIfNegative val="0"/>
          <c:cat>
            <c:strRef>
              <c:f>Sheet1!$C$28:$I$28</c:f>
              <c:strCache>
                <c:ptCount val="7"/>
                <c:pt idx="0">
                  <c:v>More contact with supervisor</c:v>
                </c:pt>
                <c:pt idx="1">
                  <c:v>more time in lab</c:v>
                </c:pt>
                <c:pt idx="2">
                  <c:v>More research meetings</c:v>
                </c:pt>
                <c:pt idx="3">
                  <c:v>Increased formal training</c:v>
                </c:pt>
                <c:pt idx="4">
                  <c:v>More  oral presentation</c:v>
                </c:pt>
                <c:pt idx="5">
                  <c:v>A final report  </c:v>
                </c:pt>
                <c:pt idx="6">
                  <c:v>Other interns to work with</c:v>
                </c:pt>
              </c:strCache>
            </c:strRef>
          </c:cat>
          <c:val>
            <c:numRef>
              <c:f>Sheet1!$C$29:$I$29</c:f>
              <c:numCache>
                <c:formatCode>General</c:formatCode>
                <c:ptCount val="7"/>
                <c:pt idx="0">
                  <c:v>6</c:v>
                </c:pt>
                <c:pt idx="1">
                  <c:v>6</c:v>
                </c:pt>
                <c:pt idx="2">
                  <c:v>5</c:v>
                </c:pt>
                <c:pt idx="3">
                  <c:v>8</c:v>
                </c:pt>
                <c:pt idx="4">
                  <c:v>4</c:v>
                </c:pt>
                <c:pt idx="5">
                  <c:v>4</c:v>
                </c:pt>
                <c:pt idx="6">
                  <c:v>4</c:v>
                </c:pt>
              </c:numCache>
            </c:numRef>
          </c:val>
        </c:ser>
        <c:ser>
          <c:idx val="1"/>
          <c:order val="1"/>
          <c:tx>
            <c:strRef>
              <c:f>Sheet1!$B$30</c:f>
              <c:strCache>
                <c:ptCount val="1"/>
                <c:pt idx="0">
                  <c:v>agree</c:v>
                </c:pt>
              </c:strCache>
            </c:strRef>
          </c:tx>
          <c:spPr>
            <a:pattFill prst="wdDnDiag">
              <a:fgClr>
                <a:schemeClr val="tx1"/>
              </a:fgClr>
              <a:bgClr>
                <a:schemeClr val="bg1"/>
              </a:bgClr>
            </a:pattFill>
          </c:spPr>
          <c:invertIfNegative val="0"/>
          <c:cat>
            <c:strRef>
              <c:f>Sheet1!$C$28:$I$28</c:f>
              <c:strCache>
                <c:ptCount val="7"/>
                <c:pt idx="0">
                  <c:v>More contact with supervisor</c:v>
                </c:pt>
                <c:pt idx="1">
                  <c:v>more time in lab</c:v>
                </c:pt>
                <c:pt idx="2">
                  <c:v>More research meetings</c:v>
                </c:pt>
                <c:pt idx="3">
                  <c:v>Increased formal training</c:v>
                </c:pt>
                <c:pt idx="4">
                  <c:v>More  oral presentation</c:v>
                </c:pt>
                <c:pt idx="5">
                  <c:v>A final report  </c:v>
                </c:pt>
                <c:pt idx="6">
                  <c:v>Other interns to work with</c:v>
                </c:pt>
              </c:strCache>
            </c:strRef>
          </c:cat>
          <c:val>
            <c:numRef>
              <c:f>Sheet1!$C$30:$I$30</c:f>
              <c:numCache>
                <c:formatCode>General</c:formatCode>
                <c:ptCount val="7"/>
                <c:pt idx="0">
                  <c:v>8</c:v>
                </c:pt>
                <c:pt idx="1">
                  <c:v>3</c:v>
                </c:pt>
                <c:pt idx="2">
                  <c:v>7</c:v>
                </c:pt>
                <c:pt idx="3">
                  <c:v>7</c:v>
                </c:pt>
                <c:pt idx="4">
                  <c:v>7</c:v>
                </c:pt>
                <c:pt idx="5">
                  <c:v>9</c:v>
                </c:pt>
                <c:pt idx="6">
                  <c:v>6</c:v>
                </c:pt>
              </c:numCache>
            </c:numRef>
          </c:val>
        </c:ser>
        <c:ser>
          <c:idx val="2"/>
          <c:order val="2"/>
          <c:tx>
            <c:strRef>
              <c:f>Sheet1!$B$31</c:f>
              <c:strCache>
                <c:ptCount val="1"/>
                <c:pt idx="0">
                  <c:v>neither</c:v>
                </c:pt>
              </c:strCache>
            </c:strRef>
          </c:tx>
          <c:spPr>
            <a:solidFill>
              <a:schemeClr val="tx1">
                <a:lumMod val="65000"/>
                <a:lumOff val="35000"/>
              </a:schemeClr>
            </a:solidFill>
          </c:spPr>
          <c:invertIfNegative val="0"/>
          <c:cat>
            <c:strRef>
              <c:f>Sheet1!$C$28:$I$28</c:f>
              <c:strCache>
                <c:ptCount val="7"/>
                <c:pt idx="0">
                  <c:v>More contact with supervisor</c:v>
                </c:pt>
                <c:pt idx="1">
                  <c:v>more time in lab</c:v>
                </c:pt>
                <c:pt idx="2">
                  <c:v>More research meetings</c:v>
                </c:pt>
                <c:pt idx="3">
                  <c:v>Increased formal training</c:v>
                </c:pt>
                <c:pt idx="4">
                  <c:v>More  oral presentation</c:v>
                </c:pt>
                <c:pt idx="5">
                  <c:v>A final report  </c:v>
                </c:pt>
                <c:pt idx="6">
                  <c:v>Other interns to work with</c:v>
                </c:pt>
              </c:strCache>
            </c:strRef>
          </c:cat>
          <c:val>
            <c:numRef>
              <c:f>Sheet1!$C$31:$I$31</c:f>
              <c:numCache>
                <c:formatCode>General</c:formatCode>
                <c:ptCount val="7"/>
                <c:pt idx="0">
                  <c:v>5</c:v>
                </c:pt>
                <c:pt idx="1">
                  <c:v>6</c:v>
                </c:pt>
                <c:pt idx="2">
                  <c:v>4</c:v>
                </c:pt>
                <c:pt idx="3">
                  <c:v>2</c:v>
                </c:pt>
                <c:pt idx="4">
                  <c:v>7</c:v>
                </c:pt>
                <c:pt idx="5">
                  <c:v>3</c:v>
                </c:pt>
                <c:pt idx="6">
                  <c:v>6</c:v>
                </c:pt>
              </c:numCache>
            </c:numRef>
          </c:val>
        </c:ser>
        <c:ser>
          <c:idx val="3"/>
          <c:order val="3"/>
          <c:tx>
            <c:strRef>
              <c:f>Sheet1!$B$32</c:f>
              <c:strCache>
                <c:ptCount val="1"/>
                <c:pt idx="0">
                  <c:v>disagree</c:v>
                </c:pt>
              </c:strCache>
            </c:strRef>
          </c:tx>
          <c:spPr>
            <a:pattFill prst="dkHorz">
              <a:fgClr>
                <a:schemeClr val="tx1"/>
              </a:fgClr>
              <a:bgClr>
                <a:schemeClr val="bg1"/>
              </a:bgClr>
            </a:pattFill>
          </c:spPr>
          <c:invertIfNegative val="0"/>
          <c:cat>
            <c:strRef>
              <c:f>Sheet1!$C$28:$I$28</c:f>
              <c:strCache>
                <c:ptCount val="7"/>
                <c:pt idx="0">
                  <c:v>More contact with supervisor</c:v>
                </c:pt>
                <c:pt idx="1">
                  <c:v>more time in lab</c:v>
                </c:pt>
                <c:pt idx="2">
                  <c:v>More research meetings</c:v>
                </c:pt>
                <c:pt idx="3">
                  <c:v>Increased formal training</c:v>
                </c:pt>
                <c:pt idx="4">
                  <c:v>More  oral presentation</c:v>
                </c:pt>
                <c:pt idx="5">
                  <c:v>A final report  </c:v>
                </c:pt>
                <c:pt idx="6">
                  <c:v>Other interns to work with</c:v>
                </c:pt>
              </c:strCache>
            </c:strRef>
          </c:cat>
          <c:val>
            <c:numRef>
              <c:f>Sheet1!$C$32:$I$32</c:f>
              <c:numCache>
                <c:formatCode>General</c:formatCode>
                <c:ptCount val="7"/>
                <c:pt idx="0">
                  <c:v>4</c:v>
                </c:pt>
                <c:pt idx="1">
                  <c:v>3</c:v>
                </c:pt>
                <c:pt idx="2">
                  <c:v>7</c:v>
                </c:pt>
                <c:pt idx="3">
                  <c:v>5</c:v>
                </c:pt>
                <c:pt idx="4">
                  <c:v>2</c:v>
                </c:pt>
                <c:pt idx="5">
                  <c:v>1</c:v>
                </c:pt>
                <c:pt idx="6">
                  <c:v>3</c:v>
                </c:pt>
              </c:numCache>
            </c:numRef>
          </c:val>
        </c:ser>
        <c:ser>
          <c:idx val="4"/>
          <c:order val="4"/>
          <c:tx>
            <c:strRef>
              <c:f>Sheet1!$B$33</c:f>
              <c:strCache>
                <c:ptCount val="1"/>
                <c:pt idx="0">
                  <c:v>strongly disagree</c:v>
                </c:pt>
              </c:strCache>
            </c:strRef>
          </c:tx>
          <c:spPr>
            <a:solidFill>
              <a:schemeClr val="bg1">
                <a:lumMod val="65000"/>
              </a:schemeClr>
            </a:solidFill>
          </c:spPr>
          <c:invertIfNegative val="0"/>
          <c:cat>
            <c:strRef>
              <c:f>Sheet1!$C$28:$I$28</c:f>
              <c:strCache>
                <c:ptCount val="7"/>
                <c:pt idx="0">
                  <c:v>More contact with supervisor</c:v>
                </c:pt>
                <c:pt idx="1">
                  <c:v>more time in lab</c:v>
                </c:pt>
                <c:pt idx="2">
                  <c:v>More research meetings</c:v>
                </c:pt>
                <c:pt idx="3">
                  <c:v>Increased formal training</c:v>
                </c:pt>
                <c:pt idx="4">
                  <c:v>More  oral presentation</c:v>
                </c:pt>
                <c:pt idx="5">
                  <c:v>A final report  </c:v>
                </c:pt>
                <c:pt idx="6">
                  <c:v>Other interns to work with</c:v>
                </c:pt>
              </c:strCache>
            </c:strRef>
          </c:cat>
          <c:val>
            <c:numRef>
              <c:f>Sheet1!$C$33:$I$33</c:f>
              <c:numCache>
                <c:formatCode>General</c:formatCode>
                <c:ptCount val="7"/>
                <c:pt idx="0">
                  <c:v>0</c:v>
                </c:pt>
                <c:pt idx="1">
                  <c:v>0</c:v>
                </c:pt>
                <c:pt idx="2">
                  <c:v>0</c:v>
                </c:pt>
                <c:pt idx="3">
                  <c:v>1</c:v>
                </c:pt>
                <c:pt idx="4">
                  <c:v>2</c:v>
                </c:pt>
                <c:pt idx="5">
                  <c:v>4</c:v>
                </c:pt>
                <c:pt idx="6">
                  <c:v>1</c:v>
                </c:pt>
              </c:numCache>
            </c:numRef>
          </c:val>
        </c:ser>
        <c:ser>
          <c:idx val="5"/>
          <c:order val="5"/>
          <c:tx>
            <c:strRef>
              <c:f>Sheet1!$B$34</c:f>
              <c:strCache>
                <c:ptCount val="1"/>
                <c:pt idx="0">
                  <c:v>N/A</c:v>
                </c:pt>
              </c:strCache>
            </c:strRef>
          </c:tx>
          <c:spPr>
            <a:pattFill prst="wdUpDiag">
              <a:fgClr>
                <a:schemeClr val="tx1"/>
              </a:fgClr>
              <a:bgClr>
                <a:schemeClr val="bg1"/>
              </a:bgClr>
            </a:pattFill>
          </c:spPr>
          <c:invertIfNegative val="0"/>
          <c:cat>
            <c:strRef>
              <c:f>Sheet1!$C$28:$I$28</c:f>
              <c:strCache>
                <c:ptCount val="7"/>
                <c:pt idx="0">
                  <c:v>More contact with supervisor</c:v>
                </c:pt>
                <c:pt idx="1">
                  <c:v>more time in lab</c:v>
                </c:pt>
                <c:pt idx="2">
                  <c:v>More research meetings</c:v>
                </c:pt>
                <c:pt idx="3">
                  <c:v>Increased formal training</c:v>
                </c:pt>
                <c:pt idx="4">
                  <c:v>More  oral presentation</c:v>
                </c:pt>
                <c:pt idx="5">
                  <c:v>A final report  </c:v>
                </c:pt>
                <c:pt idx="6">
                  <c:v>Other interns to work with</c:v>
                </c:pt>
              </c:strCache>
            </c:strRef>
          </c:cat>
          <c:val>
            <c:numRef>
              <c:f>Sheet1!$C$34:$I$34</c:f>
              <c:numCache>
                <c:formatCode>General</c:formatCode>
                <c:ptCount val="7"/>
                <c:pt idx="0">
                  <c:v>0</c:v>
                </c:pt>
                <c:pt idx="1">
                  <c:v>4</c:v>
                </c:pt>
                <c:pt idx="2">
                  <c:v>0</c:v>
                </c:pt>
                <c:pt idx="3">
                  <c:v>0</c:v>
                </c:pt>
                <c:pt idx="4">
                  <c:v>1</c:v>
                </c:pt>
                <c:pt idx="5">
                  <c:v>0</c:v>
                </c:pt>
                <c:pt idx="6">
                  <c:v>3</c:v>
                </c:pt>
              </c:numCache>
            </c:numRef>
          </c:val>
        </c:ser>
        <c:dLbls>
          <c:showLegendKey val="0"/>
          <c:showVal val="0"/>
          <c:showCatName val="0"/>
          <c:showSerName val="0"/>
          <c:showPercent val="0"/>
          <c:showBubbleSize val="0"/>
        </c:dLbls>
        <c:gapWidth val="150"/>
        <c:axId val="86384640"/>
        <c:axId val="86386944"/>
      </c:barChart>
      <c:catAx>
        <c:axId val="86384640"/>
        <c:scaling>
          <c:orientation val="minMax"/>
        </c:scaling>
        <c:delete val="0"/>
        <c:axPos val="b"/>
        <c:majorTickMark val="out"/>
        <c:minorTickMark val="none"/>
        <c:tickLblPos val="nextTo"/>
        <c:crossAx val="86386944"/>
        <c:crosses val="autoZero"/>
        <c:auto val="1"/>
        <c:lblAlgn val="ctr"/>
        <c:lblOffset val="100"/>
        <c:noMultiLvlLbl val="0"/>
      </c:catAx>
      <c:valAx>
        <c:axId val="86386944"/>
        <c:scaling>
          <c:orientation val="minMax"/>
        </c:scaling>
        <c:delete val="0"/>
        <c:axPos val="l"/>
        <c:majorGridlines/>
        <c:title>
          <c:tx>
            <c:rich>
              <a:bodyPr rot="-5400000" vert="horz"/>
              <a:lstStyle/>
              <a:p>
                <a:pPr>
                  <a:defRPr/>
                </a:pPr>
                <a:r>
                  <a:rPr lang="en-US"/>
                  <a:t>Number</a:t>
                </a:r>
                <a:r>
                  <a:rPr lang="en-US" baseline="0"/>
                  <a:t> of responses</a:t>
                </a:r>
                <a:endParaRPr lang="en-US"/>
              </a:p>
            </c:rich>
          </c:tx>
          <c:layout/>
          <c:overlay val="0"/>
        </c:title>
        <c:numFmt formatCode="General" sourceLinked="1"/>
        <c:majorTickMark val="out"/>
        <c:minorTickMark val="none"/>
        <c:tickLblPos val="nextTo"/>
        <c:crossAx val="86384640"/>
        <c:crosses val="autoZero"/>
        <c:crossBetween val="between"/>
      </c:valAx>
    </c:plotArea>
    <c:legend>
      <c:legendPos val="r"/>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Sheet1!$G$50</c:f>
              <c:strCache>
                <c:ptCount val="1"/>
                <c:pt idx="0">
                  <c:v>Science (n=17)</c:v>
                </c:pt>
              </c:strCache>
            </c:strRef>
          </c:tx>
          <c:spPr>
            <a:solidFill>
              <a:schemeClr val="tx1"/>
            </a:solidFill>
          </c:spPr>
          <c:invertIfNegative val="0"/>
          <c:dLbls>
            <c:delete val="1"/>
          </c:dLbls>
          <c:cat>
            <c:strRef>
              <c:f>Sheet1!$F$51:$F$64</c:f>
              <c:strCache>
                <c:ptCount val="14"/>
                <c:pt idx="0">
                  <c:v>Project management skills</c:v>
                </c:pt>
                <c:pt idx="1">
                  <c:v>Working independently</c:v>
                </c:pt>
                <c:pt idx="2">
                  <c:v>Time management skills</c:v>
                </c:pt>
                <c:pt idx="3">
                  <c:v>Ability to interpret results</c:v>
                </c:pt>
                <c:pt idx="4">
                  <c:v>Overcoming obstacles</c:v>
                </c:pt>
                <c:pt idx="5">
                  <c:v> primary literature </c:v>
                </c:pt>
                <c:pt idx="6">
                  <c:v>Self confidence </c:v>
                </c:pt>
                <c:pt idx="7">
                  <c:v>Scientific writing </c:v>
                </c:pt>
                <c:pt idx="8">
                  <c:v>Career path </c:v>
                </c:pt>
                <c:pt idx="9">
                  <c:v>Working in small teams</c:v>
                </c:pt>
                <c:pt idx="10">
                  <c:v>Planning experiments</c:v>
                </c:pt>
                <c:pt idx="11">
                  <c:v>Practical skills </c:v>
                </c:pt>
                <c:pt idx="12">
                  <c:v>Keeping lab book</c:v>
                </c:pt>
                <c:pt idx="13">
                  <c:v>Oral presentation </c:v>
                </c:pt>
              </c:strCache>
            </c:strRef>
          </c:cat>
          <c:val>
            <c:numRef>
              <c:f>Sheet1!$G$51:$G$64</c:f>
              <c:numCache>
                <c:formatCode>General</c:formatCode>
                <c:ptCount val="14"/>
                <c:pt idx="0">
                  <c:v>4.38</c:v>
                </c:pt>
                <c:pt idx="1">
                  <c:v>4.38</c:v>
                </c:pt>
                <c:pt idx="2">
                  <c:v>4.1900000000000004</c:v>
                </c:pt>
                <c:pt idx="3">
                  <c:v>4.13</c:v>
                </c:pt>
                <c:pt idx="4">
                  <c:v>4.0599999999999996</c:v>
                </c:pt>
                <c:pt idx="5">
                  <c:v>4.0599999999999996</c:v>
                </c:pt>
                <c:pt idx="6">
                  <c:v>4.0599999999999996</c:v>
                </c:pt>
                <c:pt idx="7">
                  <c:v>3.69</c:v>
                </c:pt>
                <c:pt idx="8">
                  <c:v>3.63</c:v>
                </c:pt>
                <c:pt idx="9">
                  <c:v>3.63</c:v>
                </c:pt>
                <c:pt idx="10">
                  <c:v>3.5</c:v>
                </c:pt>
                <c:pt idx="11">
                  <c:v>3.31</c:v>
                </c:pt>
                <c:pt idx="12">
                  <c:v>3.31</c:v>
                </c:pt>
                <c:pt idx="13">
                  <c:v>2.19</c:v>
                </c:pt>
              </c:numCache>
            </c:numRef>
          </c:val>
        </c:ser>
        <c:ser>
          <c:idx val="1"/>
          <c:order val="1"/>
          <c:tx>
            <c:strRef>
              <c:f>Sheet1!$H$50</c:f>
              <c:strCache>
                <c:ptCount val="1"/>
                <c:pt idx="0">
                  <c:v>Engineering (n=6)</c:v>
                </c:pt>
              </c:strCache>
            </c:strRef>
          </c:tx>
          <c:spPr>
            <a:solidFill>
              <a:schemeClr val="bg1">
                <a:lumMod val="50000"/>
              </a:schemeClr>
            </a:solidFill>
          </c:spPr>
          <c:invertIfNegative val="0"/>
          <c:dLbls>
            <c:delete val="1"/>
          </c:dLbls>
          <c:cat>
            <c:strRef>
              <c:f>Sheet1!$F$51:$F$64</c:f>
              <c:strCache>
                <c:ptCount val="14"/>
                <c:pt idx="0">
                  <c:v>Project management skills</c:v>
                </c:pt>
                <c:pt idx="1">
                  <c:v>Working independently</c:v>
                </c:pt>
                <c:pt idx="2">
                  <c:v>Time management skills</c:v>
                </c:pt>
                <c:pt idx="3">
                  <c:v>Ability to interpret results</c:v>
                </c:pt>
                <c:pt idx="4">
                  <c:v>Overcoming obstacles</c:v>
                </c:pt>
                <c:pt idx="5">
                  <c:v> primary literature </c:v>
                </c:pt>
                <c:pt idx="6">
                  <c:v>Self confidence </c:v>
                </c:pt>
                <c:pt idx="7">
                  <c:v>Scientific writing </c:v>
                </c:pt>
                <c:pt idx="8">
                  <c:v>Career path </c:v>
                </c:pt>
                <c:pt idx="9">
                  <c:v>Working in small teams</c:v>
                </c:pt>
                <c:pt idx="10">
                  <c:v>Planning experiments</c:v>
                </c:pt>
                <c:pt idx="11">
                  <c:v>Practical skills </c:v>
                </c:pt>
                <c:pt idx="12">
                  <c:v>Keeping lab book</c:v>
                </c:pt>
                <c:pt idx="13">
                  <c:v>Oral presentation </c:v>
                </c:pt>
              </c:strCache>
            </c:strRef>
          </c:cat>
          <c:val>
            <c:numRef>
              <c:f>Sheet1!$H$51:$H$64</c:f>
              <c:numCache>
                <c:formatCode>General</c:formatCode>
                <c:ptCount val="14"/>
                <c:pt idx="0">
                  <c:v>3.5</c:v>
                </c:pt>
                <c:pt idx="1">
                  <c:v>3.83</c:v>
                </c:pt>
                <c:pt idx="2">
                  <c:v>3.67</c:v>
                </c:pt>
                <c:pt idx="3">
                  <c:v>3.33</c:v>
                </c:pt>
                <c:pt idx="4">
                  <c:v>3.5</c:v>
                </c:pt>
                <c:pt idx="5">
                  <c:v>4</c:v>
                </c:pt>
                <c:pt idx="6">
                  <c:v>3.5</c:v>
                </c:pt>
                <c:pt idx="7">
                  <c:v>3.33</c:v>
                </c:pt>
                <c:pt idx="8">
                  <c:v>3</c:v>
                </c:pt>
                <c:pt idx="9">
                  <c:v>2.5</c:v>
                </c:pt>
                <c:pt idx="10">
                  <c:v>2.83</c:v>
                </c:pt>
                <c:pt idx="11">
                  <c:v>2.67</c:v>
                </c:pt>
                <c:pt idx="12">
                  <c:v>2.5</c:v>
                </c:pt>
                <c:pt idx="13">
                  <c:v>2.5</c:v>
                </c:pt>
              </c:numCache>
            </c:numRef>
          </c:val>
        </c:ser>
        <c:dLbls>
          <c:showLegendKey val="0"/>
          <c:showVal val="1"/>
          <c:showCatName val="0"/>
          <c:showSerName val="0"/>
          <c:showPercent val="0"/>
          <c:showBubbleSize val="0"/>
        </c:dLbls>
        <c:gapWidth val="75"/>
        <c:axId val="87320064"/>
        <c:axId val="87321600"/>
      </c:barChart>
      <c:catAx>
        <c:axId val="87320064"/>
        <c:scaling>
          <c:orientation val="minMax"/>
        </c:scaling>
        <c:delete val="0"/>
        <c:axPos val="b"/>
        <c:majorTickMark val="none"/>
        <c:minorTickMark val="none"/>
        <c:tickLblPos val="nextTo"/>
        <c:crossAx val="87321600"/>
        <c:crosses val="autoZero"/>
        <c:auto val="1"/>
        <c:lblAlgn val="ctr"/>
        <c:lblOffset val="100"/>
        <c:noMultiLvlLbl val="0"/>
      </c:catAx>
      <c:valAx>
        <c:axId val="87321600"/>
        <c:scaling>
          <c:orientation val="minMax"/>
          <c:max val="4.5"/>
          <c:min val="1.5"/>
        </c:scaling>
        <c:delete val="0"/>
        <c:axPos val="l"/>
        <c:title>
          <c:tx>
            <c:rich>
              <a:bodyPr rot="-5400000" vert="horz"/>
              <a:lstStyle/>
              <a:p>
                <a:pPr>
                  <a:defRPr/>
                </a:pPr>
                <a:r>
                  <a:rPr lang="en-GB"/>
                  <a:t>Mean gain</a:t>
                </a:r>
              </a:p>
            </c:rich>
          </c:tx>
          <c:layout/>
          <c:overlay val="0"/>
        </c:title>
        <c:numFmt formatCode="General" sourceLinked="1"/>
        <c:majorTickMark val="none"/>
        <c:minorTickMark val="none"/>
        <c:tickLblPos val="nextTo"/>
        <c:crossAx val="87320064"/>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16</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cph9</dc:creator>
  <cp:lastModifiedBy>Williams, Neil A</cp:lastModifiedBy>
  <cp:revision>6</cp:revision>
  <cp:lastPrinted>2016-10-07T13:40:00Z</cp:lastPrinted>
  <dcterms:created xsi:type="dcterms:W3CDTF">2016-10-10T13:09:00Z</dcterms:created>
  <dcterms:modified xsi:type="dcterms:W3CDTF">2016-10-10T17:21:00Z</dcterms:modified>
</cp:coreProperties>
</file>