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15179861" w:rsidR="00C53F46" w:rsidRPr="005A6F06" w:rsidRDefault="55A9B5EC">
      <w:pPr>
        <w:rPr>
          <w:rFonts w:cstheme="minorHAnsi"/>
          <w:b/>
          <w:bCs/>
        </w:rPr>
      </w:pPr>
      <w:r w:rsidRPr="005A6F06">
        <w:rPr>
          <w:rFonts w:cstheme="minorHAnsi"/>
          <w:b/>
          <w:bCs/>
        </w:rPr>
        <w:t xml:space="preserve">Table of Reviewers </w:t>
      </w:r>
      <w:r w:rsidR="00A25AFA" w:rsidRPr="005A6F06">
        <w:rPr>
          <w:rFonts w:cstheme="minorHAnsi"/>
          <w:b/>
          <w:bCs/>
        </w:rPr>
        <w:t xml:space="preserve">criticisms - </w:t>
      </w:r>
      <w:r w:rsidRPr="005A6F06">
        <w:rPr>
          <w:rFonts w:cstheme="minorHAnsi"/>
          <w:b/>
          <w:bCs/>
        </w:rPr>
        <w:t>comments and actions.</w:t>
      </w:r>
    </w:p>
    <w:p w14:paraId="255CAB37" w14:textId="0E5C173D" w:rsidR="00722741" w:rsidRPr="005A6F06" w:rsidRDefault="00722741">
      <w:pPr>
        <w:rPr>
          <w:rFonts w:cstheme="minorHAnsi"/>
        </w:rPr>
      </w:pPr>
      <w:r w:rsidRPr="005A6F06">
        <w:rPr>
          <w:rFonts w:cstheme="minorHAnsi"/>
        </w:rPr>
        <w:t xml:space="preserve">We thank all of the reviewers for </w:t>
      </w:r>
      <w:r w:rsidR="0063412B">
        <w:rPr>
          <w:rFonts w:cstheme="minorHAnsi"/>
        </w:rPr>
        <w:t xml:space="preserve">taking the time to give us </w:t>
      </w:r>
      <w:r w:rsidRPr="005A6F06">
        <w:rPr>
          <w:rFonts w:cstheme="minorHAnsi"/>
        </w:rPr>
        <w:t xml:space="preserve">their detailed comments which were very useful and informative. We feel we have addressed them </w:t>
      </w:r>
      <w:r w:rsidR="00D61153" w:rsidRPr="005A6F06">
        <w:rPr>
          <w:rFonts w:cstheme="minorHAnsi"/>
        </w:rPr>
        <w:t xml:space="preserve">in this revised version </w:t>
      </w:r>
      <w:r w:rsidR="005A4720" w:rsidRPr="005A6F06">
        <w:rPr>
          <w:rFonts w:cstheme="minorHAnsi"/>
        </w:rPr>
        <w:t>resulting in a much</w:t>
      </w:r>
      <w:r w:rsidR="00DA2CAF">
        <w:rPr>
          <w:rFonts w:cstheme="minorHAnsi"/>
        </w:rPr>
        <w:t>-</w:t>
      </w:r>
      <w:r w:rsidR="005A4720" w:rsidRPr="005A6F06">
        <w:rPr>
          <w:rFonts w:cstheme="minorHAnsi"/>
        </w:rPr>
        <w:t>improved article</w:t>
      </w:r>
      <w:r w:rsidR="00DA2CAF">
        <w:rPr>
          <w:rFonts w:cstheme="minorHAnsi"/>
        </w:rPr>
        <w:t xml:space="preserve"> and we hope you think so too</w:t>
      </w:r>
      <w:r w:rsidR="005A4720" w:rsidRPr="005A6F06">
        <w:rPr>
          <w:rFonts w:cstheme="minorHAnsi"/>
        </w:rPr>
        <w:t>.</w:t>
      </w:r>
    </w:p>
    <w:p w14:paraId="64532BC5" w14:textId="5167137C" w:rsidR="0B79AF94" w:rsidRPr="005A6F06" w:rsidRDefault="0B79AF94" w:rsidP="0B79AF94">
      <w:pPr>
        <w:rPr>
          <w:rFonts w:cstheme="minorHAnsi"/>
        </w:rPr>
      </w:pPr>
    </w:p>
    <w:p w14:paraId="7D9A096B" w14:textId="0EA0E62E" w:rsidR="55A9B5EC" w:rsidRPr="005A6F06" w:rsidRDefault="55A9B5EC" w:rsidP="0B79AF94">
      <w:pPr>
        <w:rPr>
          <w:rFonts w:cstheme="minorHAnsi"/>
        </w:rPr>
      </w:pPr>
      <w:r w:rsidRPr="005A6F06">
        <w:rPr>
          <w:rFonts w:cstheme="minorHAnsi"/>
        </w:rPr>
        <w:t>R1 Com</w:t>
      </w:r>
    </w:p>
    <w:tbl>
      <w:tblPr>
        <w:tblStyle w:val="TableGrid"/>
        <w:tblW w:w="9776" w:type="dxa"/>
        <w:tblLayout w:type="fixed"/>
        <w:tblLook w:val="06A0" w:firstRow="1" w:lastRow="0" w:firstColumn="1" w:lastColumn="0" w:noHBand="1" w:noVBand="1"/>
      </w:tblPr>
      <w:tblGrid>
        <w:gridCol w:w="4815"/>
        <w:gridCol w:w="4961"/>
      </w:tblGrid>
      <w:tr w:rsidR="005A4720" w:rsidRPr="005A6F06" w14:paraId="781A9C84" w14:textId="77777777" w:rsidTr="00503E60">
        <w:trPr>
          <w:trHeight w:val="330"/>
        </w:trPr>
        <w:tc>
          <w:tcPr>
            <w:tcW w:w="4815" w:type="dxa"/>
          </w:tcPr>
          <w:p w14:paraId="7864EEDE" w14:textId="13D4945B" w:rsidR="005A4720" w:rsidRPr="005A6F06" w:rsidRDefault="005A4720" w:rsidP="0B79AF94">
            <w:pPr>
              <w:rPr>
                <w:rFonts w:cstheme="minorHAnsi"/>
              </w:rPr>
            </w:pPr>
            <w:r w:rsidRPr="005A6F06">
              <w:rPr>
                <w:rFonts w:cstheme="minorHAnsi"/>
              </w:rPr>
              <w:t>R1 Comment</w:t>
            </w:r>
          </w:p>
        </w:tc>
        <w:tc>
          <w:tcPr>
            <w:tcW w:w="4961" w:type="dxa"/>
          </w:tcPr>
          <w:p w14:paraId="0790E918" w14:textId="062D8FD3" w:rsidR="005A4720" w:rsidRPr="005A6F06" w:rsidRDefault="005A4720" w:rsidP="0B79AF94">
            <w:pPr>
              <w:rPr>
                <w:rFonts w:cstheme="minorHAnsi"/>
              </w:rPr>
            </w:pPr>
            <w:r w:rsidRPr="005A6F06">
              <w:rPr>
                <w:rFonts w:cstheme="minorHAnsi"/>
              </w:rPr>
              <w:t>JC Comments</w:t>
            </w:r>
          </w:p>
        </w:tc>
      </w:tr>
      <w:tr w:rsidR="005A4720" w:rsidRPr="005A6F06" w14:paraId="14EAAF72" w14:textId="77777777" w:rsidTr="00503E60">
        <w:tc>
          <w:tcPr>
            <w:tcW w:w="4815" w:type="dxa"/>
          </w:tcPr>
          <w:p w14:paraId="2DBC760E" w14:textId="3EFD7A98" w:rsidR="005A4720" w:rsidRPr="005A6F06" w:rsidRDefault="005A4720" w:rsidP="5B66053B">
            <w:pPr>
              <w:rPr>
                <w:rFonts w:eastAsia="Calibri" w:cstheme="minorHAnsi"/>
              </w:rPr>
            </w:pPr>
            <w:r w:rsidRPr="005A6F06">
              <w:rPr>
                <w:rFonts w:eastAsia="Arial" w:cstheme="minorHAnsi"/>
                <w:color w:val="000000" w:themeColor="text1"/>
              </w:rPr>
              <w:t xml:space="preserve">The authors have considered a great deal of relevant literature, but not, perhaps, works that take a more critical stance toward the politics of the Robben Island Museum. </w:t>
            </w:r>
            <w:proofErr w:type="spellStart"/>
            <w:r w:rsidRPr="005A6F06">
              <w:rPr>
                <w:rFonts w:eastAsia="Arial" w:cstheme="minorHAnsi"/>
                <w:color w:val="000000" w:themeColor="text1"/>
              </w:rPr>
              <w:t>Ugochukwo</w:t>
            </w:r>
            <w:proofErr w:type="spellEnd"/>
            <w:r w:rsidRPr="005A6F06">
              <w:rPr>
                <w:rFonts w:eastAsia="Arial" w:cstheme="minorHAnsi"/>
                <w:color w:val="000000" w:themeColor="text1"/>
              </w:rPr>
              <w:t xml:space="preserve">-Smooth </w:t>
            </w:r>
            <w:proofErr w:type="spellStart"/>
            <w:r w:rsidRPr="005A6F06">
              <w:rPr>
                <w:rFonts w:eastAsia="Arial" w:cstheme="minorHAnsi"/>
                <w:color w:val="000000" w:themeColor="text1"/>
              </w:rPr>
              <w:t>Nzewi’s</w:t>
            </w:r>
            <w:proofErr w:type="spellEnd"/>
            <w:r w:rsidRPr="005A6F06">
              <w:rPr>
                <w:rFonts w:eastAsia="Arial" w:cstheme="minorHAnsi"/>
                <w:color w:val="000000" w:themeColor="text1"/>
              </w:rPr>
              <w:t xml:space="preserve"> scholarship comes to mind, for example. Similarly, works that have been critical of pop-ups are lacking. Many argue that pop-ups are a poor substitute for larger, more permanent exhibits because they are one-off and do not signal any commitment on the part of the exhibiting body toward under-represented populations.</w:t>
            </w:r>
          </w:p>
          <w:p w14:paraId="6E008C6B" w14:textId="06F45681" w:rsidR="005A4720" w:rsidRPr="005A6F06" w:rsidRDefault="005A4720" w:rsidP="0B79AF94">
            <w:pPr>
              <w:rPr>
                <w:rFonts w:cstheme="minorHAnsi"/>
              </w:rPr>
            </w:pPr>
          </w:p>
        </w:tc>
        <w:tc>
          <w:tcPr>
            <w:tcW w:w="4961" w:type="dxa"/>
          </w:tcPr>
          <w:p w14:paraId="6F9B9F09" w14:textId="77777777" w:rsidR="005A4720" w:rsidRDefault="005A4720" w:rsidP="0B79AF94">
            <w:pPr>
              <w:rPr>
                <w:rFonts w:cstheme="minorHAnsi"/>
              </w:rPr>
            </w:pPr>
            <w:proofErr w:type="spellStart"/>
            <w:r w:rsidRPr="005A6F06">
              <w:rPr>
                <w:rFonts w:cstheme="minorHAnsi"/>
              </w:rPr>
              <w:t>Nzewi’s</w:t>
            </w:r>
            <w:proofErr w:type="spellEnd"/>
            <w:r w:rsidRPr="005A6F06">
              <w:rPr>
                <w:rFonts w:cstheme="minorHAnsi"/>
              </w:rPr>
              <w:t xml:space="preserve"> work focussed on the wider history of Robben Island, what was interesting to us was the reference to “the </w:t>
            </w:r>
            <w:proofErr w:type="spellStart"/>
            <w:r w:rsidRPr="005A6F06">
              <w:rPr>
                <w:rFonts w:cstheme="minorHAnsi"/>
              </w:rPr>
              <w:t>Mandelization</w:t>
            </w:r>
            <w:proofErr w:type="spellEnd"/>
            <w:r w:rsidRPr="005A6F06">
              <w:rPr>
                <w:rFonts w:cstheme="minorHAnsi"/>
              </w:rPr>
              <w:t xml:space="preserve"> of Robben Island”. I have included </w:t>
            </w:r>
            <w:proofErr w:type="spellStart"/>
            <w:r w:rsidRPr="005A6F06">
              <w:rPr>
                <w:rFonts w:cstheme="minorHAnsi"/>
              </w:rPr>
              <w:t>Nzewi’s</w:t>
            </w:r>
            <w:proofErr w:type="spellEnd"/>
            <w:r w:rsidRPr="005A6F06">
              <w:rPr>
                <w:rFonts w:cstheme="minorHAnsi"/>
              </w:rPr>
              <w:t xml:space="preserve"> comments as appropriate to Mandela27 in the </w:t>
            </w:r>
            <w:r w:rsidR="00987381" w:rsidRPr="005A6F06">
              <w:rPr>
                <w:rFonts w:cstheme="minorHAnsi"/>
              </w:rPr>
              <w:t>E</w:t>
            </w:r>
            <w:r w:rsidRPr="005A6F06">
              <w:rPr>
                <w:rFonts w:cstheme="minorHAnsi"/>
              </w:rPr>
              <w:t xml:space="preserve">nd </w:t>
            </w:r>
            <w:r w:rsidR="00987381" w:rsidRPr="005A6F06">
              <w:rPr>
                <w:rFonts w:cstheme="minorHAnsi"/>
              </w:rPr>
              <w:t>N</w:t>
            </w:r>
            <w:r w:rsidRPr="005A6F06">
              <w:rPr>
                <w:rFonts w:cstheme="minorHAnsi"/>
              </w:rPr>
              <w:t>otes</w:t>
            </w:r>
            <w:r w:rsidR="001869CC">
              <w:rPr>
                <w:rFonts w:cstheme="minorHAnsi"/>
              </w:rPr>
              <w:t>.</w:t>
            </w:r>
          </w:p>
          <w:p w14:paraId="4D5A4553" w14:textId="781CF8F0" w:rsidR="001869CC" w:rsidRPr="005A6F06" w:rsidRDefault="001869CC" w:rsidP="0B79AF94">
            <w:pPr>
              <w:rPr>
                <w:rFonts w:cstheme="minorHAnsi"/>
              </w:rPr>
            </w:pPr>
            <w:r>
              <w:rPr>
                <w:rFonts w:cstheme="minorHAnsi"/>
              </w:rPr>
              <w:t>More research has been added about attitudes to Pop-Up Museums.</w:t>
            </w:r>
          </w:p>
        </w:tc>
      </w:tr>
      <w:tr w:rsidR="005A4720" w:rsidRPr="005A6F06" w14:paraId="11FA1AFA" w14:textId="77777777" w:rsidTr="00503E60">
        <w:tc>
          <w:tcPr>
            <w:tcW w:w="4815" w:type="dxa"/>
          </w:tcPr>
          <w:p w14:paraId="027EF993" w14:textId="2BFE886F" w:rsidR="005A4720" w:rsidRPr="005A6F06" w:rsidRDefault="005A4720" w:rsidP="5B66053B">
            <w:pPr>
              <w:pStyle w:val="ListParagraph"/>
              <w:numPr>
                <w:ilvl w:val="0"/>
                <w:numId w:val="2"/>
              </w:numPr>
              <w:rPr>
                <w:rFonts w:eastAsiaTheme="minorEastAsia" w:cstheme="minorHAnsi"/>
                <w:color w:val="000000" w:themeColor="text1"/>
              </w:rPr>
            </w:pPr>
            <w:r w:rsidRPr="005A6F06">
              <w:rPr>
                <w:rFonts w:eastAsia="Arial" w:cstheme="minorHAnsi"/>
                <w:color w:val="000000" w:themeColor="text1"/>
              </w:rPr>
              <w:t>Level of scholarship</w:t>
            </w:r>
          </w:p>
          <w:p w14:paraId="48118281" w14:textId="59A39AD5" w:rsidR="005A4720" w:rsidRPr="005A6F06" w:rsidRDefault="005A4720" w:rsidP="5B66053B">
            <w:pPr>
              <w:rPr>
                <w:rFonts w:eastAsia="Arial" w:cstheme="minorHAnsi"/>
                <w:color w:val="000000" w:themeColor="text1"/>
              </w:rPr>
            </w:pPr>
          </w:p>
          <w:p w14:paraId="55905D75" w14:textId="79F86840" w:rsidR="005A4720" w:rsidRPr="005A6F06" w:rsidRDefault="005A4720" w:rsidP="5B66053B">
            <w:pPr>
              <w:rPr>
                <w:rFonts w:eastAsia="Arial" w:cstheme="minorHAnsi"/>
                <w:color w:val="000000" w:themeColor="text1"/>
              </w:rPr>
            </w:pPr>
            <w:r w:rsidRPr="005A6F06">
              <w:rPr>
                <w:rFonts w:eastAsia="Arial" w:cstheme="minorHAnsi"/>
                <w:color w:val="000000" w:themeColor="text1"/>
              </w:rPr>
              <w:t>I wanted to accept this article because of the timely and interesting topic; however, it would need to be rewritten and tightened up to qualify for publication. The writing and organization are just too weak.</w:t>
            </w:r>
          </w:p>
          <w:p w14:paraId="44A79A08" w14:textId="75A0CCE0" w:rsidR="005A4720" w:rsidRPr="005A6F06" w:rsidRDefault="005A4720" w:rsidP="0B79AF94">
            <w:pPr>
              <w:rPr>
                <w:rFonts w:cstheme="minorHAnsi"/>
              </w:rPr>
            </w:pPr>
          </w:p>
        </w:tc>
        <w:tc>
          <w:tcPr>
            <w:tcW w:w="4961" w:type="dxa"/>
          </w:tcPr>
          <w:p w14:paraId="7D0EB8A9" w14:textId="76AE0120" w:rsidR="005A4720" w:rsidRDefault="005A4720" w:rsidP="0B79AF94">
            <w:pPr>
              <w:rPr>
                <w:rFonts w:cstheme="minorHAnsi"/>
              </w:rPr>
            </w:pPr>
            <w:r w:rsidRPr="00BC4291">
              <w:rPr>
                <w:rFonts w:cstheme="minorHAnsi"/>
              </w:rPr>
              <w:t xml:space="preserve">The article has been re-written and </w:t>
            </w:r>
            <w:r w:rsidR="005A6F06" w:rsidRPr="00BC4291">
              <w:rPr>
                <w:rFonts w:cstheme="minorHAnsi"/>
              </w:rPr>
              <w:t>re-</w:t>
            </w:r>
            <w:r w:rsidRPr="00BC4291">
              <w:rPr>
                <w:rFonts w:cstheme="minorHAnsi"/>
              </w:rPr>
              <w:t>organise</w:t>
            </w:r>
            <w:r w:rsidR="005A6F06" w:rsidRPr="00BC4291">
              <w:rPr>
                <w:rFonts w:cstheme="minorHAnsi"/>
              </w:rPr>
              <w:t>d to enhance the structure and signposting of the argument. Special attention was paid to ensure consistency of ideas throughout the different sections of the text through the use of</w:t>
            </w:r>
            <w:r w:rsidR="00806FD1" w:rsidRPr="00BC4291">
              <w:rPr>
                <w:rFonts w:cstheme="minorHAnsi"/>
              </w:rPr>
              <w:t xml:space="preserve"> uniform</w:t>
            </w:r>
            <w:r w:rsidR="005A6F06" w:rsidRPr="00BC4291">
              <w:rPr>
                <w:rFonts w:cstheme="minorHAnsi"/>
              </w:rPr>
              <w:t xml:space="preserve"> key vocabulary. Additionally, the Introdu</w:t>
            </w:r>
            <w:r w:rsidR="0070578F" w:rsidRPr="00BC4291">
              <w:rPr>
                <w:rFonts w:cstheme="minorHAnsi"/>
              </w:rPr>
              <w:t>ction</w:t>
            </w:r>
            <w:r w:rsidR="005A6F06" w:rsidRPr="00BC4291">
              <w:rPr>
                <w:rFonts w:cstheme="minorHAnsi"/>
              </w:rPr>
              <w:t xml:space="preserve"> has been revised to </w:t>
            </w:r>
            <w:r w:rsidR="0070578F" w:rsidRPr="00BC4291">
              <w:rPr>
                <w:rFonts w:cstheme="minorHAnsi"/>
              </w:rPr>
              <w:t>outline more clearly</w:t>
            </w:r>
            <w:r w:rsidR="005A6F06" w:rsidRPr="00BC4291">
              <w:rPr>
                <w:rFonts w:cstheme="minorHAnsi"/>
              </w:rPr>
              <w:t xml:space="preserve"> the </w:t>
            </w:r>
            <w:r w:rsidR="0070578F" w:rsidRPr="00BC4291">
              <w:rPr>
                <w:rFonts w:cstheme="minorHAnsi"/>
              </w:rPr>
              <w:t>b</w:t>
            </w:r>
            <w:r w:rsidR="005A6F06" w:rsidRPr="00BC4291">
              <w:rPr>
                <w:rFonts w:cstheme="minorHAnsi"/>
              </w:rPr>
              <w:t>ackg</w:t>
            </w:r>
            <w:r w:rsidR="0070578F" w:rsidRPr="00BC4291">
              <w:rPr>
                <w:rFonts w:cstheme="minorHAnsi"/>
              </w:rPr>
              <w:t>round</w:t>
            </w:r>
            <w:r w:rsidR="005A6F06" w:rsidRPr="00BC4291">
              <w:rPr>
                <w:rFonts w:cstheme="minorHAnsi"/>
              </w:rPr>
              <w:t xml:space="preserve">, gap and focus of the study and to </w:t>
            </w:r>
            <w:r w:rsidR="0070578F" w:rsidRPr="00BC4291">
              <w:rPr>
                <w:rFonts w:cstheme="minorHAnsi"/>
              </w:rPr>
              <w:t>ensure correspondence with the conclusion.</w:t>
            </w:r>
            <w:r w:rsidR="0070578F">
              <w:rPr>
                <w:rFonts w:cstheme="minorHAnsi"/>
              </w:rPr>
              <w:t xml:space="preserve"> </w:t>
            </w:r>
          </w:p>
          <w:p w14:paraId="7B3EE6FD" w14:textId="77777777" w:rsidR="005A6F06" w:rsidRDefault="005A6F06" w:rsidP="0B79AF94">
            <w:pPr>
              <w:rPr>
                <w:rFonts w:cstheme="minorHAnsi"/>
              </w:rPr>
            </w:pPr>
          </w:p>
          <w:p w14:paraId="22CDC457" w14:textId="38CF13FF" w:rsidR="005A6F06" w:rsidRPr="005A6F06" w:rsidRDefault="005A6F06" w:rsidP="0B79AF94">
            <w:pPr>
              <w:rPr>
                <w:rFonts w:cstheme="minorHAnsi"/>
              </w:rPr>
            </w:pPr>
          </w:p>
        </w:tc>
      </w:tr>
      <w:tr w:rsidR="005A4720" w:rsidRPr="005A6F06" w14:paraId="6B3215DC" w14:textId="77777777" w:rsidTr="00503E60">
        <w:tc>
          <w:tcPr>
            <w:tcW w:w="4815" w:type="dxa"/>
          </w:tcPr>
          <w:p w14:paraId="21BE8611" w14:textId="1FB5D88A" w:rsidR="005A4720" w:rsidRPr="005A6F06" w:rsidRDefault="005A4720" w:rsidP="5B66053B">
            <w:pPr>
              <w:rPr>
                <w:rFonts w:eastAsia="Calibri" w:cstheme="minorHAnsi"/>
              </w:rPr>
            </w:pPr>
            <w:r w:rsidRPr="005A6F06">
              <w:rPr>
                <w:rFonts w:eastAsia="Arial" w:cstheme="minorHAnsi"/>
                <w:color w:val="000000" w:themeColor="text1"/>
              </w:rPr>
              <w:t>Contribution to the field of museum studies (or related topics) and to current debates about the topic</w:t>
            </w:r>
          </w:p>
          <w:p w14:paraId="432FCD59" w14:textId="6422F2D9" w:rsidR="005A4720" w:rsidRPr="005A6F06" w:rsidRDefault="005A4720" w:rsidP="0B79AF94">
            <w:pPr>
              <w:rPr>
                <w:rFonts w:cstheme="minorHAnsi"/>
              </w:rPr>
            </w:pPr>
          </w:p>
        </w:tc>
        <w:tc>
          <w:tcPr>
            <w:tcW w:w="4961" w:type="dxa"/>
          </w:tcPr>
          <w:p w14:paraId="348A49A9" w14:textId="41CD3FE2" w:rsidR="005A4720" w:rsidRPr="005A6F06" w:rsidRDefault="005A4720" w:rsidP="0B79AF94">
            <w:pPr>
              <w:rPr>
                <w:rFonts w:cstheme="minorHAnsi"/>
              </w:rPr>
            </w:pPr>
            <w:r w:rsidRPr="005A6F06">
              <w:rPr>
                <w:rFonts w:cstheme="minorHAnsi"/>
              </w:rPr>
              <w:t>More background research has been added</w:t>
            </w:r>
          </w:p>
        </w:tc>
      </w:tr>
      <w:tr w:rsidR="005A4720" w:rsidRPr="005A6F06" w14:paraId="4F7ADB6B" w14:textId="77777777" w:rsidTr="00503E60">
        <w:tc>
          <w:tcPr>
            <w:tcW w:w="4815" w:type="dxa"/>
          </w:tcPr>
          <w:p w14:paraId="1197B5CE" w14:textId="33506A10" w:rsidR="005A4720" w:rsidRPr="005A6F06" w:rsidRDefault="005A4720" w:rsidP="5B66053B">
            <w:pPr>
              <w:rPr>
                <w:rFonts w:eastAsia="Arial" w:cstheme="minorHAnsi"/>
                <w:color w:val="000000" w:themeColor="text1"/>
              </w:rPr>
            </w:pPr>
          </w:p>
          <w:p w14:paraId="6B9CDAA5" w14:textId="4654CBCF" w:rsidR="005A4720" w:rsidRPr="005A6F06" w:rsidRDefault="005A4720" w:rsidP="5B66053B">
            <w:pPr>
              <w:rPr>
                <w:rFonts w:eastAsia="Arial" w:cstheme="minorHAnsi"/>
                <w:color w:val="000000" w:themeColor="text1"/>
              </w:rPr>
            </w:pPr>
            <w:r w:rsidRPr="005A6F06">
              <w:rPr>
                <w:rFonts w:eastAsia="Arial" w:cstheme="minorHAnsi"/>
                <w:color w:val="000000" w:themeColor="text1"/>
              </w:rPr>
              <w:t xml:space="preserve">The topic has potential to make a fascinating contribution to the discourse on accessibility of exhibits to audiences in far-flung or disadvantaged communities. </w:t>
            </w:r>
          </w:p>
          <w:p w14:paraId="43F4723E" w14:textId="03D04B7E" w:rsidR="005A4720" w:rsidRPr="005A6F06" w:rsidRDefault="005A4720" w:rsidP="5B66053B">
            <w:pPr>
              <w:rPr>
                <w:rFonts w:eastAsia="Arial" w:cstheme="minorHAnsi"/>
                <w:color w:val="000000" w:themeColor="text1"/>
              </w:rPr>
            </w:pPr>
          </w:p>
          <w:p w14:paraId="6B62479F" w14:textId="6347FCEC" w:rsidR="005A4720" w:rsidRPr="005A6F06" w:rsidRDefault="005A4720" w:rsidP="5B66053B">
            <w:pPr>
              <w:rPr>
                <w:rFonts w:eastAsia="Arial" w:cstheme="minorHAnsi"/>
                <w:color w:val="000000" w:themeColor="text1"/>
              </w:rPr>
            </w:pPr>
            <w:r w:rsidRPr="005A6F06">
              <w:rPr>
                <w:rFonts w:eastAsia="Arial" w:cstheme="minorHAnsi"/>
                <w:color w:val="000000" w:themeColor="text1"/>
              </w:rPr>
              <w:t xml:space="preserve">This potential contribution is greatly reduced, however, by the author’s neglect of an essential question until the very end of the article: Was the emphasis on access and digitization at the </w:t>
            </w:r>
            <w:r w:rsidRPr="005A6F06">
              <w:rPr>
                <w:rFonts w:eastAsia="Arial" w:cstheme="minorHAnsi"/>
                <w:color w:val="000000" w:themeColor="text1"/>
              </w:rPr>
              <w:lastRenderedPageBreak/>
              <w:t xml:space="preserve">Rijksmuseum achieved at the expense of efforts to improve racial and ethnic inclusion? The Rijksmuseum’s delay in addressing its involvement with a racist and colonial history is well-known and stands out in a context in which other major Dutch museums have been addressing these issues for years. The author’s comments on this question appear to be an after-thought, whereas an extended and integrated focus would greatly strengthen the paper. </w:t>
            </w:r>
          </w:p>
          <w:p w14:paraId="03E84435" w14:textId="00B41B0F" w:rsidR="005A4720" w:rsidRPr="005A6F06" w:rsidRDefault="005A4720" w:rsidP="5B66053B">
            <w:pPr>
              <w:rPr>
                <w:rFonts w:eastAsia="Arial" w:cstheme="minorHAnsi"/>
                <w:color w:val="000000" w:themeColor="text1"/>
              </w:rPr>
            </w:pPr>
          </w:p>
          <w:p w14:paraId="43DE19A9" w14:textId="40F89977" w:rsidR="005A4720" w:rsidRPr="005A6F06" w:rsidRDefault="005A4720" w:rsidP="0B79AF94">
            <w:pPr>
              <w:rPr>
                <w:rFonts w:cstheme="minorHAnsi"/>
              </w:rPr>
            </w:pPr>
          </w:p>
        </w:tc>
        <w:tc>
          <w:tcPr>
            <w:tcW w:w="4961" w:type="dxa"/>
          </w:tcPr>
          <w:p w14:paraId="1318DF55" w14:textId="77777777" w:rsidR="003C2DAE" w:rsidRDefault="003C2DAE" w:rsidP="0B79AF94">
            <w:pPr>
              <w:rPr>
                <w:rFonts w:cstheme="minorHAnsi"/>
              </w:rPr>
            </w:pPr>
            <w:r>
              <w:rPr>
                <w:rFonts w:cstheme="minorHAnsi"/>
              </w:rPr>
              <w:lastRenderedPageBreak/>
              <w:t>Thank you.</w:t>
            </w:r>
          </w:p>
          <w:p w14:paraId="76223BBA" w14:textId="77777777" w:rsidR="003C2DAE" w:rsidRDefault="003C2DAE" w:rsidP="0B79AF94">
            <w:pPr>
              <w:rPr>
                <w:rFonts w:cstheme="minorHAnsi"/>
              </w:rPr>
            </w:pPr>
          </w:p>
          <w:p w14:paraId="157B9475" w14:textId="77777777" w:rsidR="003C2DAE" w:rsidRDefault="003C2DAE" w:rsidP="0B79AF94">
            <w:pPr>
              <w:rPr>
                <w:rFonts w:cstheme="minorHAnsi"/>
              </w:rPr>
            </w:pPr>
          </w:p>
          <w:p w14:paraId="7729FE23" w14:textId="77777777" w:rsidR="003C2DAE" w:rsidRDefault="003C2DAE" w:rsidP="0B79AF94">
            <w:pPr>
              <w:rPr>
                <w:rFonts w:cstheme="minorHAnsi"/>
              </w:rPr>
            </w:pPr>
          </w:p>
          <w:p w14:paraId="399F9064" w14:textId="77777777" w:rsidR="003C2DAE" w:rsidRDefault="003C2DAE" w:rsidP="0B79AF94">
            <w:pPr>
              <w:rPr>
                <w:rFonts w:cstheme="minorHAnsi"/>
              </w:rPr>
            </w:pPr>
          </w:p>
          <w:p w14:paraId="5FCCA5B7" w14:textId="77A5853C" w:rsidR="005A4720" w:rsidRPr="005A6F06" w:rsidRDefault="00A82ED8" w:rsidP="0B79AF94">
            <w:pPr>
              <w:rPr>
                <w:rFonts w:cstheme="minorHAnsi"/>
              </w:rPr>
            </w:pPr>
            <w:r>
              <w:rPr>
                <w:rFonts w:cstheme="minorHAnsi"/>
              </w:rPr>
              <w:t>We are rather confused about this comment a</w:t>
            </w:r>
            <w:r w:rsidR="0076071A">
              <w:rPr>
                <w:rFonts w:cstheme="minorHAnsi"/>
              </w:rPr>
              <w:t>s</w:t>
            </w:r>
            <w:r>
              <w:rPr>
                <w:rFonts w:cstheme="minorHAnsi"/>
              </w:rPr>
              <w:t xml:space="preserve"> our em</w:t>
            </w:r>
            <w:r w:rsidR="005A4720" w:rsidRPr="005A6F06">
              <w:rPr>
                <w:rFonts w:cstheme="minorHAnsi"/>
              </w:rPr>
              <w:t xml:space="preserve">phasis </w:t>
            </w:r>
            <w:r w:rsidR="0076071A">
              <w:rPr>
                <w:rFonts w:cstheme="minorHAnsi"/>
              </w:rPr>
              <w:t>was not on</w:t>
            </w:r>
            <w:r w:rsidR="005A4720" w:rsidRPr="005A6F06">
              <w:rPr>
                <w:rFonts w:cstheme="minorHAnsi"/>
              </w:rPr>
              <w:t xml:space="preserve"> colonialism. We are particularly confused as to where the Rijksmuseum is referenced. It is not mentioned in this article and we wonder if this was a copy and paste mistake</w:t>
            </w:r>
            <w:r w:rsidR="001F305C">
              <w:rPr>
                <w:rFonts w:cstheme="minorHAnsi"/>
              </w:rPr>
              <w:t>.</w:t>
            </w:r>
          </w:p>
        </w:tc>
      </w:tr>
      <w:tr w:rsidR="005A4720" w:rsidRPr="005A6F06" w14:paraId="349FCC22" w14:textId="77777777" w:rsidTr="00503E60">
        <w:tc>
          <w:tcPr>
            <w:tcW w:w="4815" w:type="dxa"/>
          </w:tcPr>
          <w:p w14:paraId="61016561" w14:textId="4CC05165" w:rsidR="005A4720" w:rsidRPr="005A6F06" w:rsidRDefault="005A4720" w:rsidP="5B66053B">
            <w:pPr>
              <w:pStyle w:val="ListParagraph"/>
              <w:numPr>
                <w:ilvl w:val="0"/>
                <w:numId w:val="1"/>
              </w:numPr>
              <w:rPr>
                <w:rFonts w:eastAsiaTheme="minorEastAsia" w:cstheme="minorHAnsi"/>
                <w:color w:val="000000" w:themeColor="text1"/>
              </w:rPr>
            </w:pPr>
            <w:r w:rsidRPr="005A6F06">
              <w:rPr>
                <w:rFonts w:eastAsia="Arial" w:cstheme="minorHAnsi"/>
                <w:color w:val="000000" w:themeColor="text1"/>
              </w:rPr>
              <w:t>Matters of clarity, style and presentation</w:t>
            </w:r>
          </w:p>
          <w:p w14:paraId="1959E6CD" w14:textId="4D36FA9D" w:rsidR="005A4720" w:rsidRPr="005A6F06" w:rsidRDefault="005A4720" w:rsidP="5B66053B">
            <w:pPr>
              <w:ind w:left="720"/>
              <w:rPr>
                <w:rFonts w:eastAsia="Arial" w:cstheme="minorHAnsi"/>
                <w:color w:val="000000" w:themeColor="text1"/>
              </w:rPr>
            </w:pPr>
          </w:p>
          <w:p w14:paraId="07722D13" w14:textId="5E6595BE" w:rsidR="005A4720" w:rsidRPr="005A6F06" w:rsidRDefault="005A4720" w:rsidP="5B66053B">
            <w:pPr>
              <w:rPr>
                <w:rFonts w:eastAsia="Arial" w:cstheme="minorHAnsi"/>
                <w:color w:val="000000" w:themeColor="text1"/>
              </w:rPr>
            </w:pPr>
            <w:r w:rsidRPr="005A6F06">
              <w:rPr>
                <w:rFonts w:eastAsia="Arial" w:cstheme="minorHAnsi"/>
                <w:color w:val="000000" w:themeColor="text1"/>
              </w:rPr>
              <w:t>The level of writing and organization simply aren’t up to our professional standards. Topics come up, are dropped for something else without a transition, and then resurface again and again. The opening is extremely disjointed, and the article seems to begin again a few pages later with the paragraph beginning, “As we will describe . . . .” The comments evaluating the exhibit come up in the middle of the piece, and then there are several more sections on the exhibit’s planning and travels (</w:t>
            </w:r>
            <w:proofErr w:type="spellStart"/>
            <w:r w:rsidRPr="005A6F06">
              <w:rPr>
                <w:rFonts w:eastAsia="Arial" w:cstheme="minorHAnsi"/>
                <w:color w:val="000000" w:themeColor="text1"/>
              </w:rPr>
              <w:t>ie</w:t>
            </w:r>
            <w:proofErr w:type="spellEnd"/>
            <w:r w:rsidRPr="005A6F06">
              <w:rPr>
                <w:rFonts w:eastAsia="Arial" w:cstheme="minorHAnsi"/>
                <w:color w:val="000000" w:themeColor="text1"/>
              </w:rPr>
              <w:t>, reverse chronology). The author(s) promise of self-criticism is poorly fulfilled – it is a brief gesture at the end rather than a sustained engagement with the details of the project. The conclusion is repetition with little that is new, instead of showing the broader significance of the work or pointing in future directions.</w:t>
            </w:r>
          </w:p>
          <w:p w14:paraId="1A9DB105" w14:textId="1CE6BF7E" w:rsidR="005A4720" w:rsidRPr="005A6F06" w:rsidRDefault="005A4720" w:rsidP="0B79AF94">
            <w:pPr>
              <w:rPr>
                <w:rFonts w:cstheme="minorHAnsi"/>
              </w:rPr>
            </w:pPr>
          </w:p>
        </w:tc>
        <w:tc>
          <w:tcPr>
            <w:tcW w:w="4961" w:type="dxa"/>
          </w:tcPr>
          <w:p w14:paraId="5165BE3C" w14:textId="77777777" w:rsidR="0070578F" w:rsidRPr="009D0676" w:rsidRDefault="0070578F" w:rsidP="0B79AF94">
            <w:pPr>
              <w:rPr>
                <w:rFonts w:cstheme="minorHAnsi"/>
              </w:rPr>
            </w:pPr>
          </w:p>
          <w:p w14:paraId="79FB12CE" w14:textId="77777777" w:rsidR="0070578F" w:rsidRPr="009D0676" w:rsidRDefault="0070578F" w:rsidP="0B79AF94">
            <w:pPr>
              <w:rPr>
                <w:rFonts w:cstheme="minorHAnsi"/>
              </w:rPr>
            </w:pPr>
          </w:p>
          <w:p w14:paraId="0EB4A014" w14:textId="6CF28D49" w:rsidR="005A4720" w:rsidRPr="009D0676" w:rsidRDefault="005A6F06" w:rsidP="0B79AF94">
            <w:pPr>
              <w:rPr>
                <w:rFonts w:cstheme="minorHAnsi"/>
              </w:rPr>
            </w:pPr>
            <w:r w:rsidRPr="009D0676">
              <w:rPr>
                <w:rFonts w:cstheme="minorHAnsi"/>
              </w:rPr>
              <w:t xml:space="preserve">The authors have paid special attention to </w:t>
            </w:r>
            <w:r w:rsidR="0070578F" w:rsidRPr="009D0676">
              <w:rPr>
                <w:rFonts w:cstheme="minorHAnsi"/>
              </w:rPr>
              <w:t xml:space="preserve">textual </w:t>
            </w:r>
            <w:r w:rsidRPr="009D0676">
              <w:rPr>
                <w:rFonts w:cstheme="minorHAnsi"/>
              </w:rPr>
              <w:t xml:space="preserve">coherence and cohesion </w:t>
            </w:r>
            <w:r w:rsidR="0070578F" w:rsidRPr="009D0676">
              <w:rPr>
                <w:rFonts w:cstheme="minorHAnsi"/>
              </w:rPr>
              <w:t>in this revised version of the article, specifically</w:t>
            </w:r>
            <w:r w:rsidRPr="009D0676">
              <w:rPr>
                <w:rFonts w:cstheme="minorHAnsi"/>
              </w:rPr>
              <w:t xml:space="preserve"> on a paragraph and sentence level</w:t>
            </w:r>
            <w:r w:rsidR="0070578F" w:rsidRPr="009D0676">
              <w:rPr>
                <w:rFonts w:cstheme="minorHAnsi"/>
              </w:rPr>
              <w:t xml:space="preserve">. Firstly, we have </w:t>
            </w:r>
            <w:r w:rsidR="00DF3B06" w:rsidRPr="009D0676">
              <w:rPr>
                <w:rFonts w:cstheme="minorHAnsi"/>
              </w:rPr>
              <w:t xml:space="preserve">revisited and (where necessary) </w:t>
            </w:r>
            <w:r w:rsidR="0070578F" w:rsidRPr="009D0676">
              <w:rPr>
                <w:rFonts w:cstheme="minorHAnsi"/>
              </w:rPr>
              <w:t xml:space="preserve">re-ordered the sequence of </w:t>
            </w:r>
            <w:r w:rsidR="00DF3B06" w:rsidRPr="009D0676">
              <w:rPr>
                <w:rFonts w:cstheme="minorHAnsi"/>
              </w:rPr>
              <w:t>points</w:t>
            </w:r>
            <w:r w:rsidR="0070578F" w:rsidRPr="009D0676">
              <w:rPr>
                <w:rFonts w:cstheme="minorHAnsi"/>
              </w:rPr>
              <w:t xml:space="preserve"> within individual </w:t>
            </w:r>
            <w:r w:rsidR="00AA0DCB" w:rsidRPr="009D0676">
              <w:rPr>
                <w:rFonts w:cstheme="minorHAnsi"/>
              </w:rPr>
              <w:t>sections and</w:t>
            </w:r>
            <w:r w:rsidR="0070578F" w:rsidRPr="009D0676">
              <w:rPr>
                <w:rFonts w:cstheme="minorHAnsi"/>
              </w:rPr>
              <w:t xml:space="preserve"> </w:t>
            </w:r>
            <w:r w:rsidRPr="009D0676">
              <w:rPr>
                <w:rFonts w:cstheme="minorHAnsi"/>
              </w:rPr>
              <w:t xml:space="preserve">supplied additional </w:t>
            </w:r>
            <w:r w:rsidR="00AA0DCB" w:rsidRPr="009D0676">
              <w:rPr>
                <w:rFonts w:cstheme="minorHAnsi"/>
              </w:rPr>
              <w:t>meta discourse</w:t>
            </w:r>
            <w:r w:rsidRPr="009D0676">
              <w:rPr>
                <w:rFonts w:cstheme="minorHAnsi"/>
              </w:rPr>
              <w:t xml:space="preserve"> (such as linking and emphasis vocabulary) to increase readability.</w:t>
            </w:r>
            <w:r w:rsidR="0070578F" w:rsidRPr="009D0676">
              <w:rPr>
                <w:rFonts w:cstheme="minorHAnsi"/>
              </w:rPr>
              <w:t xml:space="preserve"> Secondly, we have edited thoroughly the use of punctuation and replaced instances of comma splices with colons and semicolons, and have marked out more clearly embedded (</w:t>
            </w:r>
            <w:r w:rsidR="00262B6C" w:rsidRPr="009D0676">
              <w:rPr>
                <w:rFonts w:cstheme="minorHAnsi"/>
              </w:rPr>
              <w:t>parenthetical</w:t>
            </w:r>
            <w:r w:rsidR="0070578F" w:rsidRPr="009D0676">
              <w:rPr>
                <w:rFonts w:cstheme="minorHAnsi"/>
              </w:rPr>
              <w:t>) phrases through the use of dashes and round brackets, rather than commas</w:t>
            </w:r>
            <w:r w:rsidR="00262B6C" w:rsidRPr="009D0676">
              <w:rPr>
                <w:rFonts w:cstheme="minorHAnsi"/>
              </w:rPr>
              <w:t xml:space="preserve">. </w:t>
            </w:r>
          </w:p>
        </w:tc>
      </w:tr>
      <w:tr w:rsidR="005A4720" w:rsidRPr="005A6F06" w14:paraId="050787FE" w14:textId="77777777" w:rsidTr="00503E60">
        <w:tc>
          <w:tcPr>
            <w:tcW w:w="4815" w:type="dxa"/>
          </w:tcPr>
          <w:p w14:paraId="2AE06917" w14:textId="4E98C29F" w:rsidR="005A4720" w:rsidRPr="005A6F06" w:rsidRDefault="005A4720" w:rsidP="5B66053B">
            <w:pPr>
              <w:rPr>
                <w:rFonts w:eastAsia="Arial" w:cstheme="minorHAnsi"/>
                <w:color w:val="000000" w:themeColor="text1"/>
              </w:rPr>
            </w:pPr>
            <w:r w:rsidRPr="005A6F06">
              <w:rPr>
                <w:rFonts w:eastAsia="Arial" w:cstheme="minorHAnsi"/>
                <w:color w:val="000000" w:themeColor="text1"/>
              </w:rPr>
              <w:t>The prose is difficult to read because of recurrent grammatical errors, particularly in the use of commas for semi-colons. A more specific vocabulary would provide a clearer picture of the author’s accomplishments, as would removal of the passive voice. A reliance on “were” (example: nine illustrative posters were designed) does not tell us who is doing what.</w:t>
            </w:r>
          </w:p>
          <w:p w14:paraId="47E5A674" w14:textId="303213C5" w:rsidR="005A4720" w:rsidRPr="005A6F06" w:rsidRDefault="005A4720" w:rsidP="5B66053B">
            <w:pPr>
              <w:rPr>
                <w:rFonts w:eastAsia="Arial" w:cstheme="minorHAnsi"/>
                <w:color w:val="000000" w:themeColor="text1"/>
              </w:rPr>
            </w:pPr>
          </w:p>
          <w:p w14:paraId="47679099" w14:textId="2A40A007" w:rsidR="005A4720" w:rsidRPr="005A6F06" w:rsidRDefault="005A4720" w:rsidP="5B66053B">
            <w:pPr>
              <w:rPr>
                <w:rFonts w:eastAsia="Arial" w:cstheme="minorHAnsi"/>
                <w:color w:val="000000" w:themeColor="text1"/>
              </w:rPr>
            </w:pPr>
            <w:r w:rsidRPr="005A6F06">
              <w:rPr>
                <w:rFonts w:eastAsia="Arial" w:cstheme="minorHAnsi"/>
                <w:color w:val="000000" w:themeColor="text1"/>
              </w:rPr>
              <w:t>I have marked up a couple of pages (attached) in order to give the author examples of the problems and possible solutions. The pages are thoroughly marked up since I wished to concentrate the examples in a short sample. Please do not think that everything needs such extensive rewriting!</w:t>
            </w:r>
          </w:p>
          <w:p w14:paraId="331B5441" w14:textId="7BE3314F" w:rsidR="005A4720" w:rsidRPr="005A6F06" w:rsidRDefault="005A4720" w:rsidP="0B79AF94">
            <w:pPr>
              <w:rPr>
                <w:rFonts w:cstheme="minorHAnsi"/>
              </w:rPr>
            </w:pPr>
          </w:p>
        </w:tc>
        <w:tc>
          <w:tcPr>
            <w:tcW w:w="4961" w:type="dxa"/>
          </w:tcPr>
          <w:p w14:paraId="678F892E" w14:textId="6496FC0C" w:rsidR="005A4720" w:rsidRPr="005A6F06" w:rsidRDefault="005A4720" w:rsidP="0B79AF94">
            <w:pPr>
              <w:rPr>
                <w:rFonts w:cstheme="minorHAnsi"/>
              </w:rPr>
            </w:pPr>
            <w:r w:rsidRPr="005A6F06">
              <w:rPr>
                <w:rFonts w:cstheme="minorHAnsi"/>
              </w:rPr>
              <w:t xml:space="preserve">Thank you for the sample mark-up. </w:t>
            </w:r>
            <w:r w:rsidR="00DA6292" w:rsidRPr="005A6F06">
              <w:rPr>
                <w:rFonts w:cstheme="minorHAnsi"/>
              </w:rPr>
              <w:t xml:space="preserve">We have taken note and amended the </w:t>
            </w:r>
            <w:r w:rsidR="00A80748" w:rsidRPr="005A6F06">
              <w:rPr>
                <w:rFonts w:cstheme="minorHAnsi"/>
              </w:rPr>
              <w:t>section</w:t>
            </w:r>
            <w:r w:rsidR="00753448">
              <w:rPr>
                <w:rFonts w:cstheme="minorHAnsi"/>
              </w:rPr>
              <w:t>,</w:t>
            </w:r>
            <w:r w:rsidR="00A80748" w:rsidRPr="005A6F06">
              <w:rPr>
                <w:rFonts w:cstheme="minorHAnsi"/>
              </w:rPr>
              <w:t xml:space="preserve"> and the grammatical errors in general. </w:t>
            </w:r>
            <w:r w:rsidRPr="005A6F06">
              <w:rPr>
                <w:rFonts w:cstheme="minorHAnsi"/>
              </w:rPr>
              <w:t>The article has been thoroughly checked for grammatical errors.</w:t>
            </w:r>
          </w:p>
          <w:p w14:paraId="63643E36" w14:textId="77777777" w:rsidR="005A4720" w:rsidRPr="005A6F06" w:rsidRDefault="005A4720" w:rsidP="0B79AF94">
            <w:pPr>
              <w:rPr>
                <w:rFonts w:cstheme="minorHAnsi"/>
              </w:rPr>
            </w:pPr>
          </w:p>
          <w:p w14:paraId="0048F948" w14:textId="17B38FA9" w:rsidR="005A4720" w:rsidRPr="005A6F06" w:rsidRDefault="005A4720" w:rsidP="0B79AF94">
            <w:pPr>
              <w:rPr>
                <w:rFonts w:cstheme="minorHAnsi"/>
              </w:rPr>
            </w:pPr>
          </w:p>
        </w:tc>
      </w:tr>
      <w:tr w:rsidR="005A4720" w:rsidRPr="005A6F06" w14:paraId="1266FA48" w14:textId="77777777" w:rsidTr="00503E60">
        <w:tc>
          <w:tcPr>
            <w:tcW w:w="4815" w:type="dxa"/>
          </w:tcPr>
          <w:p w14:paraId="74894E30" w14:textId="73C96FB0" w:rsidR="005A4720" w:rsidRPr="005A6F06" w:rsidRDefault="005A4720" w:rsidP="5B66053B">
            <w:pPr>
              <w:rPr>
                <w:rFonts w:eastAsia="Calibri" w:cstheme="minorHAnsi"/>
              </w:rPr>
            </w:pPr>
            <w:r w:rsidRPr="005A6F06">
              <w:rPr>
                <w:rFonts w:eastAsia="Arial" w:cstheme="minorHAnsi"/>
                <w:color w:val="000000" w:themeColor="text1"/>
              </w:rPr>
              <w:lastRenderedPageBreak/>
              <w:t>I recommend that the author first come up with a new and logical organizational system. Everything that is not critical to the central point should then be deleted. This will leave more space for a sustained description of the project’s impact, with lots more of the interesting quotations and additional critical analysis.</w:t>
            </w:r>
          </w:p>
          <w:p w14:paraId="11DE4403" w14:textId="535242D5" w:rsidR="005A4720" w:rsidRPr="005A6F06" w:rsidRDefault="005A4720" w:rsidP="0B79AF94">
            <w:pPr>
              <w:rPr>
                <w:rFonts w:cstheme="minorHAnsi"/>
              </w:rPr>
            </w:pPr>
          </w:p>
        </w:tc>
        <w:tc>
          <w:tcPr>
            <w:tcW w:w="4961" w:type="dxa"/>
          </w:tcPr>
          <w:p w14:paraId="42D2D4FF" w14:textId="261708EF" w:rsidR="005A4720" w:rsidRPr="00B81300" w:rsidRDefault="0070578F" w:rsidP="0B79AF94">
            <w:pPr>
              <w:rPr>
                <w:rFonts w:cstheme="minorHAnsi"/>
              </w:rPr>
            </w:pPr>
            <w:r w:rsidRPr="00B81300">
              <w:rPr>
                <w:rFonts w:cstheme="minorHAnsi"/>
              </w:rPr>
              <w:t>The authors have</w:t>
            </w:r>
            <w:r w:rsidR="00262B6C" w:rsidRPr="00B81300">
              <w:rPr>
                <w:rFonts w:cstheme="minorHAnsi"/>
              </w:rPr>
              <w:t xml:space="preserve"> tightened the focus of the article throughout the length of the argument by removing parts of the text where tangent</w:t>
            </w:r>
            <w:r w:rsidR="009A2132" w:rsidRPr="00B81300">
              <w:rPr>
                <w:rFonts w:cstheme="minorHAnsi"/>
              </w:rPr>
              <w:t>ial</w:t>
            </w:r>
            <w:r w:rsidR="00262B6C" w:rsidRPr="00B81300">
              <w:rPr>
                <w:rFonts w:cstheme="minorHAnsi"/>
              </w:rPr>
              <w:t xml:space="preserve"> points were mentioned</w:t>
            </w:r>
            <w:r w:rsidR="009A2132" w:rsidRPr="00B81300">
              <w:rPr>
                <w:rFonts w:cstheme="minorHAnsi"/>
              </w:rPr>
              <w:t>,</w:t>
            </w:r>
            <w:r w:rsidR="00262B6C" w:rsidRPr="00B81300">
              <w:rPr>
                <w:rFonts w:cstheme="minorHAnsi"/>
              </w:rPr>
              <w:t xml:space="preserve"> and </w:t>
            </w:r>
            <w:r w:rsidR="009A2132" w:rsidRPr="00B81300">
              <w:rPr>
                <w:rFonts w:cstheme="minorHAnsi"/>
              </w:rPr>
              <w:t xml:space="preserve">have </w:t>
            </w:r>
            <w:r w:rsidR="00262B6C" w:rsidRPr="00B81300">
              <w:rPr>
                <w:rFonts w:cstheme="minorHAnsi"/>
              </w:rPr>
              <w:t>enhanced further points where key ideas or logical links were</w:t>
            </w:r>
            <w:r w:rsidR="009A2132" w:rsidRPr="00B81300">
              <w:rPr>
                <w:rFonts w:cstheme="minorHAnsi"/>
              </w:rPr>
              <w:t xml:space="preserve"> given</w:t>
            </w:r>
            <w:r w:rsidR="00262B6C" w:rsidRPr="00B81300">
              <w:rPr>
                <w:rFonts w:cstheme="minorHAnsi"/>
              </w:rPr>
              <w:t xml:space="preserve">. Furthermore, we have drawn more explicitly on the literature discussing the issues at hand to strengthen the critical elements of the discussion. </w:t>
            </w:r>
          </w:p>
          <w:p w14:paraId="331CE62B" w14:textId="23B89559" w:rsidR="005A4720" w:rsidRPr="00B81300" w:rsidRDefault="005A4720" w:rsidP="0B79AF94">
            <w:pPr>
              <w:rPr>
                <w:rFonts w:cstheme="minorHAnsi"/>
              </w:rPr>
            </w:pPr>
          </w:p>
        </w:tc>
      </w:tr>
    </w:tbl>
    <w:p w14:paraId="6E07CCD0" w14:textId="541FDAE5" w:rsidR="0B79AF94" w:rsidRPr="005A6F06" w:rsidRDefault="0B79AF94" w:rsidP="0B79AF94">
      <w:pPr>
        <w:rPr>
          <w:rFonts w:cstheme="minorHAnsi"/>
        </w:rPr>
      </w:pPr>
    </w:p>
    <w:p w14:paraId="5334CAAF" w14:textId="118B9804" w:rsidR="0D4A0F0A" w:rsidRPr="005A6F06" w:rsidRDefault="0D4A0F0A" w:rsidP="5B66053B">
      <w:pPr>
        <w:rPr>
          <w:rFonts w:cstheme="minorHAnsi"/>
        </w:rPr>
      </w:pPr>
      <w:r w:rsidRPr="005A6F06">
        <w:rPr>
          <w:rFonts w:cstheme="minorHAnsi"/>
        </w:rPr>
        <w:t>R2</w:t>
      </w:r>
    </w:p>
    <w:tbl>
      <w:tblPr>
        <w:tblStyle w:val="TableGrid"/>
        <w:tblW w:w="9776" w:type="dxa"/>
        <w:tblLayout w:type="fixed"/>
        <w:tblLook w:val="06A0" w:firstRow="1" w:lastRow="0" w:firstColumn="1" w:lastColumn="0" w:noHBand="1" w:noVBand="1"/>
      </w:tblPr>
      <w:tblGrid>
        <w:gridCol w:w="4785"/>
        <w:gridCol w:w="4991"/>
      </w:tblGrid>
      <w:tr w:rsidR="00B04B7E" w:rsidRPr="005A6F06" w14:paraId="3F8525AE" w14:textId="77777777" w:rsidTr="00B04B7E">
        <w:tc>
          <w:tcPr>
            <w:tcW w:w="4785" w:type="dxa"/>
          </w:tcPr>
          <w:p w14:paraId="16F91476" w14:textId="7D4AEA45" w:rsidR="00B04B7E" w:rsidRPr="005A6F06" w:rsidRDefault="00B04B7E" w:rsidP="5B66053B">
            <w:pPr>
              <w:rPr>
                <w:rFonts w:cstheme="minorHAnsi"/>
              </w:rPr>
            </w:pPr>
            <w:r w:rsidRPr="005A6F06">
              <w:rPr>
                <w:rFonts w:cstheme="minorHAnsi"/>
              </w:rPr>
              <w:t>Comment</w:t>
            </w:r>
          </w:p>
        </w:tc>
        <w:tc>
          <w:tcPr>
            <w:tcW w:w="4991" w:type="dxa"/>
          </w:tcPr>
          <w:p w14:paraId="4E4D5C4D" w14:textId="5F491183" w:rsidR="00B04B7E" w:rsidRPr="005A6F06" w:rsidRDefault="00B04B7E" w:rsidP="5B66053B">
            <w:pPr>
              <w:rPr>
                <w:rFonts w:cstheme="minorHAnsi"/>
              </w:rPr>
            </w:pPr>
            <w:r w:rsidRPr="005A6F06">
              <w:rPr>
                <w:rFonts w:cstheme="minorHAnsi"/>
              </w:rPr>
              <w:t>JC Comments</w:t>
            </w:r>
          </w:p>
        </w:tc>
      </w:tr>
      <w:tr w:rsidR="00B04B7E" w:rsidRPr="005A6F06" w14:paraId="522B5E2E" w14:textId="77777777" w:rsidTr="00B04B7E">
        <w:tc>
          <w:tcPr>
            <w:tcW w:w="4785" w:type="dxa"/>
          </w:tcPr>
          <w:p w14:paraId="5A5D61D9" w14:textId="552BD305" w:rsidR="00B04B7E" w:rsidRPr="005A6F06" w:rsidRDefault="00B04B7E" w:rsidP="5B66053B">
            <w:pPr>
              <w:rPr>
                <w:rFonts w:eastAsia="Times New Roman" w:cstheme="minorHAnsi"/>
                <w:color w:val="000000" w:themeColor="text1"/>
              </w:rPr>
            </w:pPr>
            <w:r w:rsidRPr="005A6F06">
              <w:rPr>
                <w:rFonts w:eastAsia="Times New Roman" w:cstheme="minorHAnsi"/>
                <w:b/>
                <w:bCs/>
                <w:color w:val="000000" w:themeColor="text1"/>
              </w:rPr>
              <w:t>Grasp of relevant literature</w:t>
            </w:r>
          </w:p>
          <w:p w14:paraId="5A3A6866" w14:textId="1640A204" w:rsidR="00B04B7E" w:rsidRPr="005A6F06" w:rsidRDefault="00B04B7E" w:rsidP="5B66053B">
            <w:pPr>
              <w:rPr>
                <w:rFonts w:eastAsia="Times New Roman" w:cstheme="minorHAnsi"/>
                <w:color w:val="000000" w:themeColor="text1"/>
              </w:rPr>
            </w:pPr>
            <w:r w:rsidRPr="005A6F06">
              <w:rPr>
                <w:rFonts w:eastAsia="Times New Roman" w:cstheme="minorHAnsi"/>
                <w:color w:val="000000" w:themeColor="text1"/>
              </w:rPr>
              <w:t xml:space="preserve">The author does acknowledge that there have been prior publications and exhibitions of a similar nature (pop-ups/participatory exhibitions/traveling exhibitions) – but indicates that there is a gap in information specifically about </w:t>
            </w:r>
            <w:r w:rsidRPr="00CE78CE">
              <w:rPr>
                <w:rFonts w:eastAsia="Times New Roman" w:cstheme="minorHAnsi"/>
                <w:color w:val="000000" w:themeColor="text1"/>
              </w:rPr>
              <w:t>DIY, low cost, ‘hackable’ exhibitions such as theirs. However, the paper could benefit from an expanded discussion about these other similar works/exhibitions. There is also a need for a more concise/transparent discussion about the theoretical underpinnings of the paper. A greater emphasis could also be placed on literature surrounding cross-cultural exchanges and the importance</w:t>
            </w:r>
            <w:r w:rsidRPr="005A6F06">
              <w:rPr>
                <w:rFonts w:eastAsia="Times New Roman" w:cstheme="minorHAnsi"/>
                <w:color w:val="000000" w:themeColor="text1"/>
              </w:rPr>
              <w:t xml:space="preserve"> of representation of previously disadvantaged histories/cultures in museum exhibitions.</w:t>
            </w:r>
          </w:p>
          <w:p w14:paraId="5A108936" w14:textId="528237C2" w:rsidR="00B04B7E" w:rsidRPr="005A6F06" w:rsidRDefault="00B04B7E" w:rsidP="5B66053B">
            <w:pPr>
              <w:rPr>
                <w:rFonts w:cstheme="minorHAnsi"/>
              </w:rPr>
            </w:pPr>
          </w:p>
        </w:tc>
        <w:tc>
          <w:tcPr>
            <w:tcW w:w="4991" w:type="dxa"/>
          </w:tcPr>
          <w:p w14:paraId="332160EF" w14:textId="39F154F3" w:rsidR="00B04B7E" w:rsidRDefault="00B04B7E" w:rsidP="5B66053B">
            <w:pPr>
              <w:rPr>
                <w:rFonts w:cstheme="minorHAnsi"/>
              </w:rPr>
            </w:pPr>
            <w:r w:rsidRPr="005A6F06">
              <w:rPr>
                <w:rFonts w:cstheme="minorHAnsi"/>
              </w:rPr>
              <w:t>Research of other Pop-up museums has been referenced including critical reviews</w:t>
            </w:r>
            <w:r w:rsidR="000B729F">
              <w:rPr>
                <w:rFonts w:cstheme="minorHAnsi"/>
              </w:rPr>
              <w:t xml:space="preserve"> and we have expanded the discussion</w:t>
            </w:r>
            <w:r w:rsidR="00DD3153" w:rsidRPr="005A6F06">
              <w:rPr>
                <w:rFonts w:cstheme="minorHAnsi"/>
              </w:rPr>
              <w:t>.</w:t>
            </w:r>
            <w:r w:rsidR="0066064F" w:rsidRPr="005A6F06">
              <w:rPr>
                <w:rFonts w:cstheme="minorHAnsi"/>
              </w:rPr>
              <w:t xml:space="preserve"> </w:t>
            </w:r>
          </w:p>
          <w:p w14:paraId="7A54CF4E" w14:textId="6B6C9F40" w:rsidR="00CE78CE" w:rsidRPr="005A6F06" w:rsidRDefault="00CE78CE" w:rsidP="5B66053B">
            <w:pPr>
              <w:rPr>
                <w:rFonts w:cstheme="minorHAnsi"/>
              </w:rPr>
            </w:pPr>
            <w:r>
              <w:rPr>
                <w:rFonts w:cstheme="minorHAnsi"/>
              </w:rPr>
              <w:t>We have included some discussion of cross-cultural exchanges</w:t>
            </w:r>
            <w:r w:rsidR="00971F39">
              <w:rPr>
                <w:rFonts w:cstheme="minorHAnsi"/>
              </w:rPr>
              <w:t>.</w:t>
            </w:r>
          </w:p>
          <w:p w14:paraId="470967B4" w14:textId="1E54B7F1" w:rsidR="00B04B7E" w:rsidRPr="005A6F06" w:rsidRDefault="00B04B7E" w:rsidP="5B66053B">
            <w:pPr>
              <w:rPr>
                <w:rFonts w:cstheme="minorHAnsi"/>
              </w:rPr>
            </w:pPr>
          </w:p>
        </w:tc>
      </w:tr>
      <w:tr w:rsidR="00B04B7E" w:rsidRPr="005A6F06" w14:paraId="1AAEBAEE" w14:textId="77777777" w:rsidTr="00B04B7E">
        <w:tc>
          <w:tcPr>
            <w:tcW w:w="4785" w:type="dxa"/>
          </w:tcPr>
          <w:p w14:paraId="50597AA7" w14:textId="3EBD3E70" w:rsidR="00B04B7E" w:rsidRPr="005A6F06" w:rsidRDefault="00B04B7E" w:rsidP="00C81B9A">
            <w:pPr>
              <w:rPr>
                <w:rFonts w:cstheme="minorHAnsi"/>
              </w:rPr>
            </w:pPr>
            <w:r w:rsidRPr="00971F39">
              <w:rPr>
                <w:rFonts w:eastAsia="Times New Roman" w:cstheme="minorHAnsi"/>
                <w:color w:val="000000" w:themeColor="text1"/>
              </w:rPr>
              <w:t>However, there could be better contextualisation of the project and the specific purpose of the exhibition. There are many questions left unanswered such as: Why was the project undertaken? What was the link between South Africa and the EU? Who was the target audience(s)? What was the intended message</w:t>
            </w:r>
            <w:r w:rsidRPr="005A6F06">
              <w:rPr>
                <w:rFonts w:eastAsia="Times New Roman" w:cstheme="minorHAnsi"/>
                <w:color w:val="000000" w:themeColor="text1"/>
              </w:rPr>
              <w:t>/output of the exhibition? How long were exhibitions encouraged to stay up for?</w:t>
            </w:r>
          </w:p>
        </w:tc>
        <w:tc>
          <w:tcPr>
            <w:tcW w:w="4991" w:type="dxa"/>
          </w:tcPr>
          <w:p w14:paraId="4FEED22D" w14:textId="6BFF4FA6" w:rsidR="00B04B7E" w:rsidRPr="005A6F06" w:rsidRDefault="00B04B7E" w:rsidP="5B66053B">
            <w:pPr>
              <w:rPr>
                <w:rFonts w:cstheme="minorHAnsi"/>
              </w:rPr>
            </w:pPr>
            <w:r w:rsidRPr="005A6F06">
              <w:rPr>
                <w:rFonts w:cstheme="minorHAnsi"/>
              </w:rPr>
              <w:t>Answered and addressed in the edited version of the paper</w:t>
            </w:r>
            <w:r w:rsidR="00CE78CE">
              <w:rPr>
                <w:rFonts w:cstheme="minorHAnsi"/>
              </w:rPr>
              <w:t>,</w:t>
            </w:r>
            <w:r w:rsidR="00D72B1D">
              <w:rPr>
                <w:rFonts w:cstheme="minorHAnsi"/>
              </w:rPr>
              <w:t xml:space="preserve"> i</w:t>
            </w:r>
            <w:r w:rsidR="000003A9" w:rsidRPr="005A6F06">
              <w:rPr>
                <w:rFonts w:cstheme="minorHAnsi"/>
              </w:rPr>
              <w:t>n the introduction</w:t>
            </w:r>
            <w:r w:rsidR="00971F39">
              <w:rPr>
                <w:rFonts w:cstheme="minorHAnsi"/>
              </w:rPr>
              <w:t>. We have also discuss</w:t>
            </w:r>
            <w:r w:rsidR="000F7EC3">
              <w:rPr>
                <w:rFonts w:cstheme="minorHAnsi"/>
              </w:rPr>
              <w:t>ed</w:t>
            </w:r>
            <w:r w:rsidR="00971F39">
              <w:rPr>
                <w:rFonts w:cstheme="minorHAnsi"/>
              </w:rPr>
              <w:t xml:space="preserve"> the use of </w:t>
            </w:r>
            <w:r w:rsidR="00D72B1D">
              <w:rPr>
                <w:rFonts w:cstheme="minorHAnsi"/>
              </w:rPr>
              <w:t>digital media to attract younger audiences to museums</w:t>
            </w:r>
            <w:r w:rsidR="00971F39">
              <w:rPr>
                <w:rFonts w:cstheme="minorHAnsi"/>
              </w:rPr>
              <w:t>.</w:t>
            </w:r>
          </w:p>
          <w:p w14:paraId="6D22BC97" w14:textId="56073918" w:rsidR="00B04B7E" w:rsidRPr="005A6F06" w:rsidRDefault="00B04B7E" w:rsidP="009D71EF">
            <w:pPr>
              <w:rPr>
                <w:rFonts w:cstheme="minorHAnsi"/>
              </w:rPr>
            </w:pPr>
          </w:p>
        </w:tc>
      </w:tr>
      <w:tr w:rsidR="00B04B7E" w:rsidRPr="005A6F06" w14:paraId="36A34FFC" w14:textId="77777777" w:rsidTr="00B04B7E">
        <w:tc>
          <w:tcPr>
            <w:tcW w:w="4785" w:type="dxa"/>
          </w:tcPr>
          <w:p w14:paraId="092F6A09" w14:textId="13E289B5" w:rsidR="00B04B7E" w:rsidRPr="005A6F06" w:rsidRDefault="00B04B7E" w:rsidP="5B66053B">
            <w:pPr>
              <w:rPr>
                <w:rFonts w:eastAsia="Calibri" w:cstheme="minorHAnsi"/>
              </w:rPr>
            </w:pPr>
            <w:r w:rsidRPr="005A6F06">
              <w:rPr>
                <w:rFonts w:eastAsia="Times New Roman" w:cstheme="minorHAnsi"/>
                <w:color w:val="000000" w:themeColor="text1"/>
              </w:rPr>
              <w:t xml:space="preserve">The paper also stated another aim: ‘to know if providing the guidance and open-source digital resources to create your own installation can make the content more accessible, affordable and more meaningful to the communities it has been designed by.’ There was little discussion around gaging how ‘meaningful’ the exhibition was and </w:t>
            </w:r>
            <w:r w:rsidRPr="005A6F06">
              <w:rPr>
                <w:rFonts w:eastAsia="Times New Roman" w:cstheme="minorHAnsi"/>
                <w:color w:val="000000" w:themeColor="text1"/>
              </w:rPr>
              <w:lastRenderedPageBreak/>
              <w:t>the paper could benefit from a focused visitor/user feedback section. Along with the statistics of the exhibition’s reach, this would also help to support the paper’s conclusion that the pop-up exhibition was successful and its recommendation for other museums to consider a similar space for future exhibitions. It is also necessary to provide a definition of the use of the term ‘communities’ within this paper.</w:t>
            </w:r>
          </w:p>
          <w:p w14:paraId="2F479C69" w14:textId="54D4BCE1" w:rsidR="00B04B7E" w:rsidRPr="005A6F06" w:rsidRDefault="00B04B7E" w:rsidP="5B66053B">
            <w:pPr>
              <w:rPr>
                <w:rFonts w:cstheme="minorHAnsi"/>
              </w:rPr>
            </w:pPr>
          </w:p>
        </w:tc>
        <w:tc>
          <w:tcPr>
            <w:tcW w:w="4991" w:type="dxa"/>
          </w:tcPr>
          <w:p w14:paraId="135DE61A" w14:textId="4C0B6BEF" w:rsidR="00B04B7E" w:rsidRPr="005A6F06" w:rsidRDefault="00B04B7E" w:rsidP="5B66053B">
            <w:pPr>
              <w:rPr>
                <w:rFonts w:cstheme="minorHAnsi"/>
              </w:rPr>
            </w:pPr>
            <w:r w:rsidRPr="005A6F06">
              <w:rPr>
                <w:rFonts w:cstheme="minorHAnsi"/>
              </w:rPr>
              <w:lastRenderedPageBreak/>
              <w:t>We cannot revisit places where Mandela27 was exhibited</w:t>
            </w:r>
            <w:r w:rsidR="00CD5BDF">
              <w:rPr>
                <w:rFonts w:cstheme="minorHAnsi"/>
              </w:rPr>
              <w:t>,</w:t>
            </w:r>
            <w:r w:rsidRPr="005A6F06">
              <w:rPr>
                <w:rFonts w:cstheme="minorHAnsi"/>
              </w:rPr>
              <w:t xml:space="preserve"> but I have included several quotes from visitors at the time.</w:t>
            </w:r>
            <w:r w:rsidR="00C063B2">
              <w:rPr>
                <w:rFonts w:cstheme="minorHAnsi"/>
              </w:rPr>
              <w:t xml:space="preserve"> We</w:t>
            </w:r>
            <w:r w:rsidRPr="005A6F06">
              <w:rPr>
                <w:rFonts w:cstheme="minorHAnsi"/>
              </w:rPr>
              <w:t xml:space="preserve"> have justified </w:t>
            </w:r>
            <w:r w:rsidR="00C063B2">
              <w:rPr>
                <w:rFonts w:cstheme="minorHAnsi"/>
              </w:rPr>
              <w:t>our</w:t>
            </w:r>
            <w:r w:rsidRPr="005A6F06">
              <w:rPr>
                <w:rFonts w:cstheme="minorHAnsi"/>
              </w:rPr>
              <w:t xml:space="preserve"> claim that it reached over 1</w:t>
            </w:r>
            <w:r w:rsidR="00C063B2">
              <w:rPr>
                <w:rFonts w:cstheme="minorHAnsi"/>
              </w:rPr>
              <w:t>8</w:t>
            </w:r>
            <w:r w:rsidRPr="005A6F06">
              <w:rPr>
                <w:rFonts w:cstheme="minorHAnsi"/>
              </w:rPr>
              <w:t xml:space="preserve">0,000 people across Europe and South Africa </w:t>
            </w:r>
            <w:r w:rsidR="00CD5BDF">
              <w:rPr>
                <w:rFonts w:cstheme="minorHAnsi"/>
              </w:rPr>
              <w:t xml:space="preserve">by </w:t>
            </w:r>
            <w:r w:rsidRPr="005A6F06">
              <w:rPr>
                <w:rFonts w:cstheme="minorHAnsi"/>
              </w:rPr>
              <w:t>includ</w:t>
            </w:r>
            <w:r w:rsidR="00CD5BDF">
              <w:rPr>
                <w:rFonts w:cstheme="minorHAnsi"/>
              </w:rPr>
              <w:t>ing</w:t>
            </w:r>
            <w:r w:rsidRPr="005A6F06">
              <w:rPr>
                <w:rFonts w:cstheme="minorHAnsi"/>
              </w:rPr>
              <w:t xml:space="preserve"> a table of the</w:t>
            </w:r>
            <w:r w:rsidR="00CD5BDF">
              <w:rPr>
                <w:rFonts w:cstheme="minorHAnsi"/>
              </w:rPr>
              <w:t xml:space="preserve"> venue and visitors.</w:t>
            </w:r>
          </w:p>
        </w:tc>
      </w:tr>
      <w:tr w:rsidR="00B04B7E" w:rsidRPr="005A6F06" w14:paraId="522D6917" w14:textId="77777777" w:rsidTr="00B04B7E">
        <w:tc>
          <w:tcPr>
            <w:tcW w:w="4785" w:type="dxa"/>
          </w:tcPr>
          <w:p w14:paraId="03E4A4D3" w14:textId="6C625DD8" w:rsidR="00B04B7E" w:rsidRPr="005A6F06" w:rsidRDefault="00B04B7E" w:rsidP="5B66053B">
            <w:pPr>
              <w:rPr>
                <w:rFonts w:eastAsia="Times New Roman" w:cstheme="minorHAnsi"/>
                <w:color w:val="000000" w:themeColor="text1"/>
              </w:rPr>
            </w:pPr>
            <w:r w:rsidRPr="005A6F06">
              <w:rPr>
                <w:rFonts w:eastAsia="Times New Roman" w:cstheme="minorHAnsi"/>
                <w:b/>
                <w:bCs/>
                <w:color w:val="000000" w:themeColor="text1"/>
              </w:rPr>
              <w:lastRenderedPageBreak/>
              <w:t>Matters of clarity/style and presentation</w:t>
            </w:r>
          </w:p>
          <w:p w14:paraId="265DD5DE" w14:textId="34366356" w:rsidR="00B04B7E" w:rsidRPr="005A6F06" w:rsidRDefault="00B04B7E" w:rsidP="5B66053B">
            <w:pPr>
              <w:rPr>
                <w:rFonts w:eastAsia="Times New Roman" w:cstheme="minorHAnsi"/>
                <w:color w:val="000000" w:themeColor="text1"/>
              </w:rPr>
            </w:pPr>
            <w:r w:rsidRPr="005A6F06">
              <w:rPr>
                <w:rFonts w:eastAsia="Times New Roman" w:cstheme="minorHAnsi"/>
                <w:color w:val="000000" w:themeColor="text1"/>
              </w:rPr>
              <w:t xml:space="preserve">The material is delivered in a clear and understandable way. There are instances, however, where emotive language is used (e.g. in the first paragraph of the introduction) and this should be removed. There are sections that could be combined as they are repetitive – such as ‘The Project…,’ ‘Pop-Up Heritage,’ and ‘Accessible and Affordable DIY Exhibitions’ – and sections where there should be expansion – such as to discuss theoretical perspectives more thoroughly and visitor/user feedback on the exhibition and its structure. The objectives, aims, and question of the study all need to be more clearly stated at the beginning of the article . There are also some minor grammatical errors that an editor should fix. </w:t>
            </w:r>
          </w:p>
          <w:p w14:paraId="6387C8EE" w14:textId="25898728" w:rsidR="00B04B7E" w:rsidRPr="005A6F06" w:rsidRDefault="00B04B7E" w:rsidP="5B66053B">
            <w:pPr>
              <w:rPr>
                <w:rFonts w:eastAsia="Times New Roman" w:cstheme="minorHAnsi"/>
                <w:color w:val="000000" w:themeColor="text1"/>
              </w:rPr>
            </w:pPr>
          </w:p>
          <w:p w14:paraId="1B2039AD" w14:textId="25F81F27" w:rsidR="00B04B7E" w:rsidRPr="005A6F06" w:rsidRDefault="00B04B7E" w:rsidP="5B66053B">
            <w:pPr>
              <w:rPr>
                <w:rFonts w:eastAsia="Times New Roman" w:cstheme="minorHAnsi"/>
                <w:color w:val="000000" w:themeColor="text1"/>
              </w:rPr>
            </w:pPr>
            <w:r w:rsidRPr="005A6F06">
              <w:rPr>
                <w:rFonts w:eastAsia="Times New Roman" w:cstheme="minorHAnsi"/>
                <w:color w:val="000000" w:themeColor="text1"/>
              </w:rPr>
              <w:t>The title should be amended to be more descriptive. It should definitely include the term ‘pop-up’ as that is a core element of the exhibition and article. The abstract also needs to be more informative. It should clearly state the objectives, aims, and question of the article along with the theoretical perspectives and briefly touch on the conclusion.</w:t>
            </w:r>
          </w:p>
          <w:p w14:paraId="62FE2F8A" w14:textId="080495D9" w:rsidR="00B04B7E" w:rsidRPr="005A6F06" w:rsidRDefault="00B04B7E" w:rsidP="5B66053B">
            <w:pPr>
              <w:rPr>
                <w:rFonts w:eastAsia="Times New Roman" w:cstheme="minorHAnsi"/>
                <w:color w:val="000000" w:themeColor="text1"/>
              </w:rPr>
            </w:pPr>
          </w:p>
          <w:p w14:paraId="50B71ED0" w14:textId="69EDFE52" w:rsidR="00B04B7E" w:rsidRPr="005A6F06" w:rsidRDefault="00B04B7E" w:rsidP="5B66053B">
            <w:pPr>
              <w:rPr>
                <w:rFonts w:eastAsia="Times New Roman" w:cstheme="minorHAnsi"/>
                <w:color w:val="000000" w:themeColor="text1"/>
              </w:rPr>
            </w:pPr>
          </w:p>
        </w:tc>
        <w:tc>
          <w:tcPr>
            <w:tcW w:w="4991" w:type="dxa"/>
          </w:tcPr>
          <w:p w14:paraId="30532536" w14:textId="00C7519A" w:rsidR="00B04B7E" w:rsidRPr="005A6F06" w:rsidRDefault="00B04B7E" w:rsidP="5B66053B">
            <w:pPr>
              <w:rPr>
                <w:rFonts w:cstheme="minorHAnsi"/>
              </w:rPr>
            </w:pPr>
            <w:r w:rsidRPr="005A6F06">
              <w:rPr>
                <w:rFonts w:cstheme="minorHAnsi"/>
              </w:rPr>
              <w:t>The paper has been reorganized to provide clarity about the aims.</w:t>
            </w:r>
          </w:p>
          <w:p w14:paraId="10877CF6" w14:textId="410B71BD" w:rsidR="00B04B7E" w:rsidRPr="005A6F06" w:rsidRDefault="00B04B7E" w:rsidP="5B66053B">
            <w:pPr>
              <w:rPr>
                <w:rFonts w:cstheme="minorHAnsi"/>
              </w:rPr>
            </w:pPr>
            <w:r w:rsidRPr="005A6F06">
              <w:rPr>
                <w:rFonts w:cstheme="minorHAnsi"/>
              </w:rPr>
              <w:t>The title and abstract have been amended to take account of this critique.</w:t>
            </w:r>
          </w:p>
          <w:p w14:paraId="406461D0" w14:textId="10CB5F6E" w:rsidR="00B04B7E" w:rsidRPr="005A6F06" w:rsidRDefault="00B04B7E" w:rsidP="521DA07E">
            <w:pPr>
              <w:rPr>
                <w:rFonts w:cstheme="minorHAnsi"/>
              </w:rPr>
            </w:pPr>
            <w:r w:rsidRPr="005A6F06">
              <w:rPr>
                <w:rFonts w:cstheme="minorHAnsi"/>
              </w:rPr>
              <w:t>Quotes have been added and more detail of the structure.</w:t>
            </w:r>
          </w:p>
          <w:p w14:paraId="20B28CE5" w14:textId="7CDEA716" w:rsidR="00B04B7E" w:rsidRPr="005A6F06" w:rsidRDefault="00B04B7E" w:rsidP="521DA07E">
            <w:pPr>
              <w:rPr>
                <w:rFonts w:cstheme="minorHAnsi"/>
              </w:rPr>
            </w:pPr>
            <w:r w:rsidRPr="005A6F06">
              <w:rPr>
                <w:rFonts w:cstheme="minorHAnsi"/>
              </w:rPr>
              <w:t>The aim has been stated at the beginning of the article</w:t>
            </w:r>
            <w:r w:rsidR="009460F2">
              <w:rPr>
                <w:rFonts w:cstheme="minorHAnsi"/>
              </w:rPr>
              <w:t>.</w:t>
            </w:r>
          </w:p>
        </w:tc>
      </w:tr>
      <w:tr w:rsidR="00B04B7E" w:rsidRPr="005A6F06" w14:paraId="3F9055F2" w14:textId="77777777" w:rsidTr="00B04B7E">
        <w:tc>
          <w:tcPr>
            <w:tcW w:w="4785" w:type="dxa"/>
          </w:tcPr>
          <w:p w14:paraId="04305C6C" w14:textId="4C7C048A" w:rsidR="00B04B7E" w:rsidRPr="005A6F06" w:rsidRDefault="00B04B7E" w:rsidP="5B66053B">
            <w:pPr>
              <w:rPr>
                <w:rFonts w:eastAsia="Times New Roman" w:cstheme="minorHAnsi"/>
                <w:b/>
                <w:bCs/>
                <w:color w:val="000000" w:themeColor="text1"/>
              </w:rPr>
            </w:pPr>
            <w:r w:rsidRPr="005A6F06">
              <w:rPr>
                <w:rFonts w:eastAsia="Times New Roman" w:cstheme="minorHAnsi"/>
                <w:b/>
                <w:bCs/>
                <w:color w:val="000000" w:themeColor="text1"/>
              </w:rPr>
              <w:t xml:space="preserve">R3 Comments </w:t>
            </w:r>
          </w:p>
        </w:tc>
        <w:tc>
          <w:tcPr>
            <w:tcW w:w="4991" w:type="dxa"/>
          </w:tcPr>
          <w:p w14:paraId="03C78F9C" w14:textId="18C06386" w:rsidR="00B04B7E" w:rsidRPr="005A6F06" w:rsidRDefault="00B04B7E" w:rsidP="5B66053B">
            <w:pPr>
              <w:rPr>
                <w:rFonts w:cstheme="minorHAnsi"/>
              </w:rPr>
            </w:pPr>
            <w:r w:rsidRPr="005A6F06">
              <w:rPr>
                <w:rFonts w:cstheme="minorHAnsi"/>
              </w:rPr>
              <w:t>JC Comments</w:t>
            </w:r>
          </w:p>
        </w:tc>
      </w:tr>
      <w:tr w:rsidR="00B04B7E" w:rsidRPr="005A6F06" w14:paraId="5EE8135B" w14:textId="77777777" w:rsidTr="00B04B7E">
        <w:tc>
          <w:tcPr>
            <w:tcW w:w="4785" w:type="dxa"/>
          </w:tcPr>
          <w:p w14:paraId="0D421BDE" w14:textId="1F651846" w:rsidR="00B04B7E" w:rsidRPr="005A6F06" w:rsidRDefault="00B04B7E" w:rsidP="5B66053B">
            <w:pPr>
              <w:rPr>
                <w:rFonts w:eastAsia="Times New Roman" w:cstheme="minorHAnsi"/>
                <w:color w:val="000000" w:themeColor="text1"/>
              </w:rPr>
            </w:pPr>
            <w:r w:rsidRPr="005A6F06">
              <w:rPr>
                <w:rFonts w:eastAsia="Times New Roman" w:cstheme="minorHAnsi"/>
                <w:b/>
                <w:bCs/>
                <w:color w:val="000000" w:themeColor="text1"/>
              </w:rPr>
              <w:t>Matters of clarity / style /presentation</w:t>
            </w:r>
          </w:p>
          <w:p w14:paraId="3FFA6795" w14:textId="5D75754C" w:rsidR="00B04B7E" w:rsidRPr="005A6F06" w:rsidRDefault="00B04B7E" w:rsidP="5B66053B">
            <w:pPr>
              <w:rPr>
                <w:rFonts w:eastAsia="Times New Roman" w:cstheme="minorHAnsi"/>
                <w:color w:val="000000" w:themeColor="text1"/>
              </w:rPr>
            </w:pPr>
            <w:r w:rsidRPr="005A6F06">
              <w:rPr>
                <w:rFonts w:eastAsia="Times New Roman" w:cstheme="minorHAnsi"/>
                <w:color w:val="000000" w:themeColor="text1"/>
              </w:rPr>
              <w:t>The writing is clear and accessible, even if it tends to be a little repetitive. On a general level, it would benefit from some editorial interventions. I want to stress that it is only on this level that I recommend revisions.</w:t>
            </w:r>
          </w:p>
          <w:p w14:paraId="4E697C87" w14:textId="4295A79D" w:rsidR="00B04B7E" w:rsidRPr="005A6F06" w:rsidRDefault="00B04B7E" w:rsidP="5B66053B">
            <w:pPr>
              <w:rPr>
                <w:rFonts w:eastAsia="Times New Roman" w:cstheme="minorHAnsi"/>
                <w:color w:val="000000" w:themeColor="text1"/>
              </w:rPr>
            </w:pPr>
          </w:p>
        </w:tc>
        <w:tc>
          <w:tcPr>
            <w:tcW w:w="4991" w:type="dxa"/>
          </w:tcPr>
          <w:p w14:paraId="7D371F77" w14:textId="59B03EA9" w:rsidR="00B04B7E" w:rsidRPr="005A6F06" w:rsidRDefault="00B04B7E" w:rsidP="5B66053B">
            <w:pPr>
              <w:rPr>
                <w:rFonts w:cstheme="minorHAnsi"/>
              </w:rPr>
            </w:pPr>
            <w:r w:rsidRPr="005A6F06">
              <w:rPr>
                <w:rFonts w:cstheme="minorHAnsi"/>
              </w:rPr>
              <w:t>The paper has been reorganized and thoroughly edited to take out repetitions and grammatical errors.</w:t>
            </w:r>
          </w:p>
        </w:tc>
      </w:tr>
    </w:tbl>
    <w:p w14:paraId="12128469" w14:textId="7B4DF783" w:rsidR="5B66053B" w:rsidRPr="005A6F06" w:rsidRDefault="5B66053B" w:rsidP="5B66053B">
      <w:pPr>
        <w:rPr>
          <w:rFonts w:cstheme="minorHAnsi"/>
        </w:rPr>
      </w:pPr>
    </w:p>
    <w:sectPr w:rsidR="5B66053B" w:rsidRPr="005A6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E1133"/>
    <w:multiLevelType w:val="hybridMultilevel"/>
    <w:tmpl w:val="F9F606D4"/>
    <w:lvl w:ilvl="0" w:tplc="37C4DFBA">
      <w:start w:val="1"/>
      <w:numFmt w:val="bullet"/>
      <w:lvlText w:val=""/>
      <w:lvlJc w:val="left"/>
      <w:pPr>
        <w:ind w:left="720" w:hanging="360"/>
      </w:pPr>
      <w:rPr>
        <w:rFonts w:ascii="Symbol" w:hAnsi="Symbol" w:hint="default"/>
      </w:rPr>
    </w:lvl>
    <w:lvl w:ilvl="1" w:tplc="6BE6F7D6">
      <w:start w:val="1"/>
      <w:numFmt w:val="bullet"/>
      <w:lvlText w:val="o"/>
      <w:lvlJc w:val="left"/>
      <w:pPr>
        <w:ind w:left="1440" w:hanging="360"/>
      </w:pPr>
      <w:rPr>
        <w:rFonts w:ascii="Courier New" w:hAnsi="Courier New" w:hint="default"/>
      </w:rPr>
    </w:lvl>
    <w:lvl w:ilvl="2" w:tplc="7014303A">
      <w:start w:val="1"/>
      <w:numFmt w:val="bullet"/>
      <w:lvlText w:val=""/>
      <w:lvlJc w:val="left"/>
      <w:pPr>
        <w:ind w:left="2160" w:hanging="360"/>
      </w:pPr>
      <w:rPr>
        <w:rFonts w:ascii="Wingdings" w:hAnsi="Wingdings" w:hint="default"/>
      </w:rPr>
    </w:lvl>
    <w:lvl w:ilvl="3" w:tplc="78B8A3C4">
      <w:start w:val="1"/>
      <w:numFmt w:val="bullet"/>
      <w:lvlText w:val=""/>
      <w:lvlJc w:val="left"/>
      <w:pPr>
        <w:ind w:left="2880" w:hanging="360"/>
      </w:pPr>
      <w:rPr>
        <w:rFonts w:ascii="Symbol" w:hAnsi="Symbol" w:hint="default"/>
      </w:rPr>
    </w:lvl>
    <w:lvl w:ilvl="4" w:tplc="0A80554A">
      <w:start w:val="1"/>
      <w:numFmt w:val="bullet"/>
      <w:lvlText w:val="o"/>
      <w:lvlJc w:val="left"/>
      <w:pPr>
        <w:ind w:left="3600" w:hanging="360"/>
      </w:pPr>
      <w:rPr>
        <w:rFonts w:ascii="Courier New" w:hAnsi="Courier New" w:hint="default"/>
      </w:rPr>
    </w:lvl>
    <w:lvl w:ilvl="5" w:tplc="7FFE930A">
      <w:start w:val="1"/>
      <w:numFmt w:val="bullet"/>
      <w:lvlText w:val=""/>
      <w:lvlJc w:val="left"/>
      <w:pPr>
        <w:ind w:left="4320" w:hanging="360"/>
      </w:pPr>
      <w:rPr>
        <w:rFonts w:ascii="Wingdings" w:hAnsi="Wingdings" w:hint="default"/>
      </w:rPr>
    </w:lvl>
    <w:lvl w:ilvl="6" w:tplc="91EED9C4">
      <w:start w:val="1"/>
      <w:numFmt w:val="bullet"/>
      <w:lvlText w:val=""/>
      <w:lvlJc w:val="left"/>
      <w:pPr>
        <w:ind w:left="5040" w:hanging="360"/>
      </w:pPr>
      <w:rPr>
        <w:rFonts w:ascii="Symbol" w:hAnsi="Symbol" w:hint="default"/>
      </w:rPr>
    </w:lvl>
    <w:lvl w:ilvl="7" w:tplc="E66AF072">
      <w:start w:val="1"/>
      <w:numFmt w:val="bullet"/>
      <w:lvlText w:val="o"/>
      <w:lvlJc w:val="left"/>
      <w:pPr>
        <w:ind w:left="5760" w:hanging="360"/>
      </w:pPr>
      <w:rPr>
        <w:rFonts w:ascii="Courier New" w:hAnsi="Courier New" w:hint="default"/>
      </w:rPr>
    </w:lvl>
    <w:lvl w:ilvl="8" w:tplc="0E7C2820">
      <w:start w:val="1"/>
      <w:numFmt w:val="bullet"/>
      <w:lvlText w:val=""/>
      <w:lvlJc w:val="left"/>
      <w:pPr>
        <w:ind w:left="6480" w:hanging="360"/>
      </w:pPr>
      <w:rPr>
        <w:rFonts w:ascii="Wingdings" w:hAnsi="Wingdings" w:hint="default"/>
      </w:rPr>
    </w:lvl>
  </w:abstractNum>
  <w:abstractNum w:abstractNumId="1" w15:restartNumberingAfterBreak="0">
    <w:nsid w:val="7C22004C"/>
    <w:multiLevelType w:val="hybridMultilevel"/>
    <w:tmpl w:val="3844FE3C"/>
    <w:lvl w:ilvl="0" w:tplc="F0E63E66">
      <w:start w:val="1"/>
      <w:numFmt w:val="bullet"/>
      <w:lvlText w:val=""/>
      <w:lvlJc w:val="left"/>
      <w:pPr>
        <w:ind w:left="720" w:hanging="360"/>
      </w:pPr>
      <w:rPr>
        <w:rFonts w:ascii="Symbol" w:hAnsi="Symbol" w:hint="default"/>
      </w:rPr>
    </w:lvl>
    <w:lvl w:ilvl="1" w:tplc="448AB9C6">
      <w:start w:val="1"/>
      <w:numFmt w:val="bullet"/>
      <w:lvlText w:val="o"/>
      <w:lvlJc w:val="left"/>
      <w:pPr>
        <w:ind w:left="1440" w:hanging="360"/>
      </w:pPr>
      <w:rPr>
        <w:rFonts w:ascii="Courier New" w:hAnsi="Courier New" w:hint="default"/>
      </w:rPr>
    </w:lvl>
    <w:lvl w:ilvl="2" w:tplc="92684A12">
      <w:start w:val="1"/>
      <w:numFmt w:val="bullet"/>
      <w:lvlText w:val=""/>
      <w:lvlJc w:val="left"/>
      <w:pPr>
        <w:ind w:left="2160" w:hanging="360"/>
      </w:pPr>
      <w:rPr>
        <w:rFonts w:ascii="Wingdings" w:hAnsi="Wingdings" w:hint="default"/>
      </w:rPr>
    </w:lvl>
    <w:lvl w:ilvl="3" w:tplc="F7368DA6">
      <w:start w:val="1"/>
      <w:numFmt w:val="bullet"/>
      <w:lvlText w:val=""/>
      <w:lvlJc w:val="left"/>
      <w:pPr>
        <w:ind w:left="2880" w:hanging="360"/>
      </w:pPr>
      <w:rPr>
        <w:rFonts w:ascii="Symbol" w:hAnsi="Symbol" w:hint="default"/>
      </w:rPr>
    </w:lvl>
    <w:lvl w:ilvl="4" w:tplc="A16E6EEA">
      <w:start w:val="1"/>
      <w:numFmt w:val="bullet"/>
      <w:lvlText w:val="o"/>
      <w:lvlJc w:val="left"/>
      <w:pPr>
        <w:ind w:left="3600" w:hanging="360"/>
      </w:pPr>
      <w:rPr>
        <w:rFonts w:ascii="Courier New" w:hAnsi="Courier New" w:hint="default"/>
      </w:rPr>
    </w:lvl>
    <w:lvl w:ilvl="5" w:tplc="861C65BE">
      <w:start w:val="1"/>
      <w:numFmt w:val="bullet"/>
      <w:lvlText w:val=""/>
      <w:lvlJc w:val="left"/>
      <w:pPr>
        <w:ind w:left="4320" w:hanging="360"/>
      </w:pPr>
      <w:rPr>
        <w:rFonts w:ascii="Wingdings" w:hAnsi="Wingdings" w:hint="default"/>
      </w:rPr>
    </w:lvl>
    <w:lvl w:ilvl="6" w:tplc="A33EE9C4">
      <w:start w:val="1"/>
      <w:numFmt w:val="bullet"/>
      <w:lvlText w:val=""/>
      <w:lvlJc w:val="left"/>
      <w:pPr>
        <w:ind w:left="5040" w:hanging="360"/>
      </w:pPr>
      <w:rPr>
        <w:rFonts w:ascii="Symbol" w:hAnsi="Symbol" w:hint="default"/>
      </w:rPr>
    </w:lvl>
    <w:lvl w:ilvl="7" w:tplc="83E2DCA8">
      <w:start w:val="1"/>
      <w:numFmt w:val="bullet"/>
      <w:lvlText w:val="o"/>
      <w:lvlJc w:val="left"/>
      <w:pPr>
        <w:ind w:left="5760" w:hanging="360"/>
      </w:pPr>
      <w:rPr>
        <w:rFonts w:ascii="Courier New" w:hAnsi="Courier New" w:hint="default"/>
      </w:rPr>
    </w:lvl>
    <w:lvl w:ilvl="8" w:tplc="B4E8D336">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9D3389"/>
    <w:rsid w:val="000003A9"/>
    <w:rsid w:val="0001612B"/>
    <w:rsid w:val="0003304B"/>
    <w:rsid w:val="000649E5"/>
    <w:rsid w:val="000A3351"/>
    <w:rsid w:val="000B729F"/>
    <w:rsid w:val="000F7EC3"/>
    <w:rsid w:val="00137196"/>
    <w:rsid w:val="00140D75"/>
    <w:rsid w:val="001417A2"/>
    <w:rsid w:val="001869CC"/>
    <w:rsid w:val="001A6467"/>
    <w:rsid w:val="001F305C"/>
    <w:rsid w:val="00244762"/>
    <w:rsid w:val="00262B6C"/>
    <w:rsid w:val="002B68F0"/>
    <w:rsid w:val="002C56FD"/>
    <w:rsid w:val="002D1567"/>
    <w:rsid w:val="0032524F"/>
    <w:rsid w:val="00377F30"/>
    <w:rsid w:val="003C2DAE"/>
    <w:rsid w:val="004146CD"/>
    <w:rsid w:val="00421606"/>
    <w:rsid w:val="00421838"/>
    <w:rsid w:val="0042678D"/>
    <w:rsid w:val="00432E8C"/>
    <w:rsid w:val="004942D8"/>
    <w:rsid w:val="004F32B5"/>
    <w:rsid w:val="00503E60"/>
    <w:rsid w:val="00506CB5"/>
    <w:rsid w:val="005646D0"/>
    <w:rsid w:val="005A4720"/>
    <w:rsid w:val="005A6F06"/>
    <w:rsid w:val="005F39AA"/>
    <w:rsid w:val="006234BA"/>
    <w:rsid w:val="0063412B"/>
    <w:rsid w:val="00646BE7"/>
    <w:rsid w:val="0066064F"/>
    <w:rsid w:val="00664A1A"/>
    <w:rsid w:val="0070578F"/>
    <w:rsid w:val="00722741"/>
    <w:rsid w:val="00741F76"/>
    <w:rsid w:val="00753448"/>
    <w:rsid w:val="007545CD"/>
    <w:rsid w:val="0076071A"/>
    <w:rsid w:val="00761570"/>
    <w:rsid w:val="0079181B"/>
    <w:rsid w:val="007E41DE"/>
    <w:rsid w:val="00806FD1"/>
    <w:rsid w:val="008A392C"/>
    <w:rsid w:val="009460F2"/>
    <w:rsid w:val="009604DB"/>
    <w:rsid w:val="00971F39"/>
    <w:rsid w:val="00975D00"/>
    <w:rsid w:val="00987381"/>
    <w:rsid w:val="009A2132"/>
    <w:rsid w:val="009A351D"/>
    <w:rsid w:val="009A52D5"/>
    <w:rsid w:val="009D0676"/>
    <w:rsid w:val="009D39B9"/>
    <w:rsid w:val="009D71EF"/>
    <w:rsid w:val="00A21F12"/>
    <w:rsid w:val="00A25AFA"/>
    <w:rsid w:val="00A56FDF"/>
    <w:rsid w:val="00A72A2C"/>
    <w:rsid w:val="00A80748"/>
    <w:rsid w:val="00A807C7"/>
    <w:rsid w:val="00A82ED8"/>
    <w:rsid w:val="00AA0DCB"/>
    <w:rsid w:val="00AF27BB"/>
    <w:rsid w:val="00B04B7E"/>
    <w:rsid w:val="00B71825"/>
    <w:rsid w:val="00B74B4C"/>
    <w:rsid w:val="00B80718"/>
    <w:rsid w:val="00B81300"/>
    <w:rsid w:val="00BB1AB1"/>
    <w:rsid w:val="00BB7AF0"/>
    <w:rsid w:val="00BC4291"/>
    <w:rsid w:val="00C063B2"/>
    <w:rsid w:val="00C53F46"/>
    <w:rsid w:val="00C81B9A"/>
    <w:rsid w:val="00C9070E"/>
    <w:rsid w:val="00CA6C34"/>
    <w:rsid w:val="00CC3E67"/>
    <w:rsid w:val="00CD5BDF"/>
    <w:rsid w:val="00CE78CE"/>
    <w:rsid w:val="00D61153"/>
    <w:rsid w:val="00D61968"/>
    <w:rsid w:val="00D6631F"/>
    <w:rsid w:val="00D72B1D"/>
    <w:rsid w:val="00DA2CAF"/>
    <w:rsid w:val="00DA6292"/>
    <w:rsid w:val="00DB0F19"/>
    <w:rsid w:val="00DD3153"/>
    <w:rsid w:val="00DF3B06"/>
    <w:rsid w:val="00E01F07"/>
    <w:rsid w:val="00E02940"/>
    <w:rsid w:val="00E314AA"/>
    <w:rsid w:val="00E63A64"/>
    <w:rsid w:val="00E9067F"/>
    <w:rsid w:val="00EA7FD6"/>
    <w:rsid w:val="00EC1156"/>
    <w:rsid w:val="00EE79D8"/>
    <w:rsid w:val="00F50A7C"/>
    <w:rsid w:val="00FB3A94"/>
    <w:rsid w:val="01536460"/>
    <w:rsid w:val="02144FCC"/>
    <w:rsid w:val="06618207"/>
    <w:rsid w:val="0AC8E793"/>
    <w:rsid w:val="0AF90A37"/>
    <w:rsid w:val="0B79AF94"/>
    <w:rsid w:val="0D4A0F0A"/>
    <w:rsid w:val="0E7F726A"/>
    <w:rsid w:val="11D09846"/>
    <w:rsid w:val="1A5179FC"/>
    <w:rsid w:val="1BA0B323"/>
    <w:rsid w:val="1D9D3389"/>
    <w:rsid w:val="1DBE05C6"/>
    <w:rsid w:val="1F22BE24"/>
    <w:rsid w:val="1FB07567"/>
    <w:rsid w:val="21FA0CDA"/>
    <w:rsid w:val="23A1DE5E"/>
    <w:rsid w:val="262D2171"/>
    <w:rsid w:val="265F2A41"/>
    <w:rsid w:val="29BD4B01"/>
    <w:rsid w:val="2BE818CF"/>
    <w:rsid w:val="2DA4E6B7"/>
    <w:rsid w:val="32E40F6E"/>
    <w:rsid w:val="3388FBC6"/>
    <w:rsid w:val="33C4999B"/>
    <w:rsid w:val="34E38BF7"/>
    <w:rsid w:val="361793B3"/>
    <w:rsid w:val="383AD67E"/>
    <w:rsid w:val="3A3ECE54"/>
    <w:rsid w:val="3BF598CE"/>
    <w:rsid w:val="3DBE4295"/>
    <w:rsid w:val="4473AE92"/>
    <w:rsid w:val="44F0DEA5"/>
    <w:rsid w:val="46F2782F"/>
    <w:rsid w:val="488E4890"/>
    <w:rsid w:val="497ACECF"/>
    <w:rsid w:val="4C6F0E4F"/>
    <w:rsid w:val="4CF6D023"/>
    <w:rsid w:val="51D973D8"/>
    <w:rsid w:val="521DA07E"/>
    <w:rsid w:val="528B2CB2"/>
    <w:rsid w:val="55A9B5EC"/>
    <w:rsid w:val="55B5905B"/>
    <w:rsid w:val="56674C26"/>
    <w:rsid w:val="57291C50"/>
    <w:rsid w:val="573143EC"/>
    <w:rsid w:val="5B66053B"/>
    <w:rsid w:val="60EC57BE"/>
    <w:rsid w:val="610B9035"/>
    <w:rsid w:val="6288281F"/>
    <w:rsid w:val="66A7BBC3"/>
    <w:rsid w:val="66DE8E31"/>
    <w:rsid w:val="66FE5CC8"/>
    <w:rsid w:val="6706AEF5"/>
    <w:rsid w:val="68D168C9"/>
    <w:rsid w:val="6A62B834"/>
    <w:rsid w:val="6AA1807E"/>
    <w:rsid w:val="6AB4C0FB"/>
    <w:rsid w:val="6B0EC181"/>
    <w:rsid w:val="6EE9D705"/>
    <w:rsid w:val="6F999B0A"/>
    <w:rsid w:val="7058271A"/>
    <w:rsid w:val="709B3ED5"/>
    <w:rsid w:val="710A690E"/>
    <w:rsid w:val="716C836E"/>
    <w:rsid w:val="729ADB47"/>
    <w:rsid w:val="72C6051F"/>
    <w:rsid w:val="766B5F39"/>
    <w:rsid w:val="774FE65D"/>
    <w:rsid w:val="789D88AA"/>
    <w:rsid w:val="7B0FAE95"/>
    <w:rsid w:val="7C7FF33C"/>
    <w:rsid w:val="7C9716F1"/>
    <w:rsid w:val="7CD35274"/>
    <w:rsid w:val="7E1BC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D3389"/>
  <w15:chartTrackingRefBased/>
  <w15:docId w15:val="{3ACC9A7C-62C6-474C-A330-DAF4D073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761570"/>
    <w:rPr>
      <w:sz w:val="16"/>
      <w:szCs w:val="16"/>
    </w:rPr>
  </w:style>
  <w:style w:type="paragraph" w:styleId="CommentText">
    <w:name w:val="annotation text"/>
    <w:basedOn w:val="Normal"/>
    <w:link w:val="CommentTextChar"/>
    <w:uiPriority w:val="99"/>
    <w:unhideWhenUsed/>
    <w:rsid w:val="00761570"/>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761570"/>
    <w:rPr>
      <w:rFonts w:ascii="Arial"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1E759-CCE1-4CC2-B5A9-E78764995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Cawston</dc:creator>
  <cp:keywords/>
  <dc:description/>
  <cp:lastModifiedBy>Jacqueline Cawston</cp:lastModifiedBy>
  <cp:revision>27</cp:revision>
  <dcterms:created xsi:type="dcterms:W3CDTF">2022-03-15T11:43:00Z</dcterms:created>
  <dcterms:modified xsi:type="dcterms:W3CDTF">2022-03-16T17:31:00Z</dcterms:modified>
</cp:coreProperties>
</file>