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1606EC" w14:textId="77777777" w:rsidR="00D47991" w:rsidRDefault="00DF3F80">
      <w:pPr>
        <w:spacing w:after="160" w:line="480" w:lineRule="auto"/>
        <w:jc w:val="both"/>
        <w:rPr>
          <w:b/>
          <w:sz w:val="24"/>
          <w:szCs w:val="24"/>
        </w:rPr>
      </w:pPr>
      <w:bookmarkStart w:id="0" w:name="_heading=h.gjdgxs" w:colFirst="0" w:colLast="0"/>
      <w:bookmarkEnd w:id="0"/>
      <w:r>
        <w:rPr>
          <w:b/>
          <w:sz w:val="24"/>
          <w:szCs w:val="24"/>
        </w:rPr>
        <w:t>Promoting Social Justice through Storytelling in Museums</w:t>
      </w:r>
    </w:p>
    <w:p w14:paraId="161447C1" w14:textId="77777777" w:rsidR="00D47991" w:rsidRDefault="00DF3F80">
      <w:pPr>
        <w:spacing w:after="160" w:line="480" w:lineRule="auto"/>
        <w:jc w:val="both"/>
        <w:rPr>
          <w:sz w:val="24"/>
          <w:szCs w:val="24"/>
        </w:rPr>
      </w:pPr>
      <w:r>
        <w:rPr>
          <w:b/>
          <w:sz w:val="24"/>
          <w:szCs w:val="24"/>
        </w:rPr>
        <w:t>ABSTRACT</w:t>
      </w:r>
      <w:r>
        <w:rPr>
          <w:sz w:val="24"/>
          <w:szCs w:val="24"/>
        </w:rPr>
        <w:t xml:space="preserve">  </w:t>
      </w:r>
    </w:p>
    <w:p w14:paraId="23117D8C" w14:textId="03374CFB" w:rsidR="00D47991" w:rsidRDefault="00DF3F80">
      <w:pPr>
        <w:spacing w:after="160" w:line="480" w:lineRule="auto"/>
        <w:jc w:val="both"/>
        <w:rPr>
          <w:sz w:val="24"/>
          <w:szCs w:val="24"/>
        </w:rPr>
      </w:pPr>
      <w:bookmarkStart w:id="1" w:name="_heading=h.30j0zll" w:colFirst="0" w:colLast="0"/>
      <w:bookmarkEnd w:id="1"/>
      <w:r>
        <w:rPr>
          <w:sz w:val="24"/>
          <w:szCs w:val="24"/>
        </w:rPr>
        <w:t xml:space="preserve">In 2018 the Anthropology Museum at California State University San Bernardino (USA) opened an exhibition entitled </w:t>
      </w:r>
      <w:proofErr w:type="spellStart"/>
      <w:r>
        <w:rPr>
          <w:i/>
          <w:sz w:val="24"/>
          <w:szCs w:val="24"/>
        </w:rPr>
        <w:t>In|Dignity</w:t>
      </w:r>
      <w:proofErr w:type="spellEnd"/>
      <w:r>
        <w:rPr>
          <w:sz w:val="24"/>
          <w:szCs w:val="24"/>
        </w:rPr>
        <w:t xml:space="preserve">. The collaborative endeavour </w:t>
      </w:r>
      <w:r w:rsidR="0080543E">
        <w:rPr>
          <w:sz w:val="24"/>
          <w:szCs w:val="24"/>
        </w:rPr>
        <w:t xml:space="preserve">combined </w:t>
      </w:r>
      <w:r>
        <w:rPr>
          <w:sz w:val="24"/>
          <w:szCs w:val="24"/>
        </w:rPr>
        <w:t xml:space="preserve">social science techniques, documentary photography, and </w:t>
      </w:r>
      <w:commentRangeStart w:id="2"/>
      <w:commentRangeStart w:id="3"/>
      <w:r>
        <w:rPr>
          <w:sz w:val="24"/>
          <w:szCs w:val="24"/>
        </w:rPr>
        <w:t>theatre</w:t>
      </w:r>
      <w:commentRangeEnd w:id="2"/>
      <w:r w:rsidR="00AC3A04">
        <w:rPr>
          <w:rStyle w:val="CommentReference"/>
        </w:rPr>
        <w:commentReference w:id="2"/>
      </w:r>
      <w:commentRangeEnd w:id="3"/>
      <w:r w:rsidR="001C1E2F">
        <w:rPr>
          <w:rStyle w:val="CommentReference"/>
        </w:rPr>
        <w:commentReference w:id="3"/>
      </w:r>
      <w:r>
        <w:rPr>
          <w:sz w:val="24"/>
          <w:szCs w:val="24"/>
        </w:rPr>
        <w:t xml:space="preserve"> </w:t>
      </w:r>
      <w:r w:rsidR="001C1E2F">
        <w:rPr>
          <w:sz w:val="24"/>
          <w:szCs w:val="24"/>
        </w:rPr>
        <w:t xml:space="preserve">performances </w:t>
      </w:r>
      <w:r>
        <w:rPr>
          <w:sz w:val="24"/>
          <w:szCs w:val="24"/>
        </w:rPr>
        <w:t xml:space="preserve">to present first person narratives of 43 community members. Participants represented marginalized demographics and intersectional </w:t>
      </w:r>
      <w:bookmarkStart w:id="4" w:name="_GoBack"/>
      <w:bookmarkEnd w:id="4"/>
      <w:r>
        <w:rPr>
          <w:sz w:val="24"/>
          <w:szCs w:val="24"/>
        </w:rPr>
        <w:t xml:space="preserve">identities that extend far beyond standardized approaches to ‘diversity.’ Their stories </w:t>
      </w:r>
      <w:commentRangeStart w:id="5"/>
      <w:r>
        <w:rPr>
          <w:sz w:val="24"/>
          <w:szCs w:val="24"/>
        </w:rPr>
        <w:t>provided</w:t>
      </w:r>
      <w:commentRangeEnd w:id="5"/>
      <w:r w:rsidR="0080543E">
        <w:rPr>
          <w:rStyle w:val="CommentReference"/>
        </w:rPr>
        <w:commentReference w:id="5"/>
      </w:r>
      <w:r>
        <w:rPr>
          <w:sz w:val="24"/>
          <w:szCs w:val="24"/>
        </w:rPr>
        <w:t xml:space="preserve"> an intimate look into experiences of discrimination, </w:t>
      </w:r>
      <w:proofErr w:type="spellStart"/>
      <w:r>
        <w:rPr>
          <w:sz w:val="24"/>
          <w:szCs w:val="24"/>
        </w:rPr>
        <w:t>microaggressions</w:t>
      </w:r>
      <w:proofErr w:type="spellEnd"/>
      <w:r>
        <w:rPr>
          <w:sz w:val="24"/>
          <w:szCs w:val="24"/>
        </w:rPr>
        <w:t>, harassment, exclusion, and other affronts to self-worth and</w:t>
      </w:r>
      <w:r w:rsidR="00AC3A04">
        <w:rPr>
          <w:sz w:val="24"/>
          <w:szCs w:val="24"/>
        </w:rPr>
        <w:t xml:space="preserve"> barriers to</w:t>
      </w:r>
      <w:r>
        <w:rPr>
          <w:sz w:val="24"/>
          <w:szCs w:val="24"/>
        </w:rPr>
        <w:t xml:space="preserve"> community belonging. This article argu</w:t>
      </w:r>
      <w:r w:rsidR="00AC3A04">
        <w:rPr>
          <w:sz w:val="24"/>
          <w:szCs w:val="24"/>
        </w:rPr>
        <w:t>es</w:t>
      </w:r>
      <w:r>
        <w:rPr>
          <w:sz w:val="24"/>
          <w:szCs w:val="24"/>
        </w:rPr>
        <w:t xml:space="preserve"> that connecting individuals through </w:t>
      </w:r>
      <w:commentRangeStart w:id="6"/>
      <w:commentRangeStart w:id="7"/>
      <w:r>
        <w:rPr>
          <w:sz w:val="24"/>
          <w:szCs w:val="24"/>
        </w:rPr>
        <w:t>telling</w:t>
      </w:r>
      <w:commentRangeEnd w:id="6"/>
      <w:r w:rsidR="00AC3A04">
        <w:rPr>
          <w:rStyle w:val="CommentReference"/>
        </w:rPr>
        <w:commentReference w:id="6"/>
      </w:r>
      <w:commentRangeEnd w:id="7"/>
      <w:r w:rsidR="001C1E2F">
        <w:rPr>
          <w:rStyle w:val="CommentReference"/>
        </w:rPr>
        <w:commentReference w:id="7"/>
      </w:r>
      <w:r>
        <w:rPr>
          <w:sz w:val="24"/>
          <w:szCs w:val="24"/>
        </w:rPr>
        <w:t xml:space="preserve"> and listening</w:t>
      </w:r>
      <w:r w:rsidR="001C1E2F">
        <w:rPr>
          <w:sz w:val="24"/>
          <w:szCs w:val="24"/>
        </w:rPr>
        <w:t xml:space="preserve"> to stories</w:t>
      </w:r>
      <w:r>
        <w:rPr>
          <w:sz w:val="24"/>
          <w:szCs w:val="24"/>
        </w:rPr>
        <w:t xml:space="preserve"> is a valid strategy to promote social justice. </w:t>
      </w:r>
      <w:proofErr w:type="spellStart"/>
      <w:r>
        <w:rPr>
          <w:i/>
          <w:sz w:val="24"/>
          <w:szCs w:val="24"/>
        </w:rPr>
        <w:t>In|Dignity</w:t>
      </w:r>
      <w:proofErr w:type="spellEnd"/>
      <w:r>
        <w:rPr>
          <w:sz w:val="24"/>
          <w:szCs w:val="24"/>
        </w:rPr>
        <w:t xml:space="preserve"> provides one case study of a museum </w:t>
      </w:r>
      <w:r w:rsidR="001C1E2F">
        <w:rPr>
          <w:sz w:val="24"/>
          <w:szCs w:val="24"/>
        </w:rPr>
        <w:t>us</w:t>
      </w:r>
      <w:r>
        <w:rPr>
          <w:sz w:val="24"/>
          <w:szCs w:val="24"/>
        </w:rPr>
        <w:t xml:space="preserve">ing </w:t>
      </w:r>
      <w:r w:rsidR="00F5595B">
        <w:rPr>
          <w:sz w:val="24"/>
          <w:szCs w:val="24"/>
        </w:rPr>
        <w:t xml:space="preserve">the narrative form and </w:t>
      </w:r>
      <w:r>
        <w:rPr>
          <w:sz w:val="24"/>
          <w:szCs w:val="24"/>
        </w:rPr>
        <w:t xml:space="preserve">the processes of exhibition development </w:t>
      </w:r>
      <w:r w:rsidR="001C1E2F">
        <w:rPr>
          <w:sz w:val="24"/>
          <w:szCs w:val="24"/>
        </w:rPr>
        <w:t xml:space="preserve">to </w:t>
      </w:r>
      <w:r>
        <w:rPr>
          <w:sz w:val="24"/>
          <w:szCs w:val="24"/>
        </w:rPr>
        <w:t xml:space="preserve">disrupt power hierarchies, uplift community concerns, and </w:t>
      </w:r>
      <w:r w:rsidR="001C1E2F">
        <w:rPr>
          <w:sz w:val="24"/>
          <w:szCs w:val="24"/>
        </w:rPr>
        <w:t xml:space="preserve">promote </w:t>
      </w:r>
      <w:r>
        <w:rPr>
          <w:sz w:val="24"/>
          <w:szCs w:val="24"/>
        </w:rPr>
        <w:t xml:space="preserve">human dignity. </w:t>
      </w:r>
    </w:p>
    <w:p w14:paraId="710A33CE" w14:textId="77777777" w:rsidR="00D47991" w:rsidRDefault="00D47991">
      <w:pPr>
        <w:spacing w:after="160" w:line="480" w:lineRule="auto"/>
        <w:jc w:val="both"/>
        <w:rPr>
          <w:sz w:val="24"/>
          <w:szCs w:val="24"/>
        </w:rPr>
      </w:pPr>
    </w:p>
    <w:p w14:paraId="51AA8C00" w14:textId="34DEABBB" w:rsidR="00D47991" w:rsidRDefault="00DF3F80">
      <w:pPr>
        <w:spacing w:after="160" w:line="480" w:lineRule="auto"/>
        <w:jc w:val="both"/>
        <w:rPr>
          <w:sz w:val="24"/>
          <w:szCs w:val="24"/>
        </w:rPr>
      </w:pPr>
      <w:r>
        <w:rPr>
          <w:sz w:val="24"/>
          <w:szCs w:val="24"/>
        </w:rPr>
        <w:t>Social Justice; Oral History; Storytelling; Community; University Museums</w:t>
      </w:r>
      <w:r w:rsidR="00F63DBA">
        <w:rPr>
          <w:sz w:val="24"/>
          <w:szCs w:val="24"/>
        </w:rPr>
        <w:t xml:space="preserve">; </w:t>
      </w:r>
      <w:r w:rsidR="0080543E">
        <w:rPr>
          <w:sz w:val="24"/>
          <w:szCs w:val="24"/>
        </w:rPr>
        <w:t>E</w:t>
      </w:r>
      <w:r w:rsidR="00F63DBA">
        <w:rPr>
          <w:sz w:val="24"/>
          <w:szCs w:val="24"/>
        </w:rPr>
        <w:t xml:space="preserve">xhibit </w:t>
      </w:r>
      <w:r w:rsidR="0080543E">
        <w:rPr>
          <w:sz w:val="24"/>
          <w:szCs w:val="24"/>
        </w:rPr>
        <w:t>C</w:t>
      </w:r>
      <w:r w:rsidR="00F63DBA">
        <w:rPr>
          <w:sz w:val="24"/>
          <w:szCs w:val="24"/>
        </w:rPr>
        <w:t>o-creation</w:t>
      </w:r>
    </w:p>
    <w:p w14:paraId="16C9AD13" w14:textId="77777777" w:rsidR="00D47991" w:rsidRDefault="00DF3F80">
      <w:pPr>
        <w:spacing w:after="160"/>
        <w:jc w:val="both"/>
        <w:rPr>
          <w:b/>
          <w:sz w:val="24"/>
          <w:szCs w:val="24"/>
        </w:rPr>
      </w:pPr>
      <w:bookmarkStart w:id="8" w:name="_heading=h.1fob9te" w:colFirst="0" w:colLast="0"/>
      <w:bookmarkEnd w:id="8"/>
      <w:r>
        <w:br w:type="page"/>
      </w:r>
    </w:p>
    <w:p w14:paraId="520179E8" w14:textId="77777777" w:rsidR="00D47991" w:rsidRDefault="00DF3F80">
      <w:pPr>
        <w:pStyle w:val="Heading1"/>
        <w:spacing w:before="0" w:after="160" w:line="480" w:lineRule="auto"/>
        <w:jc w:val="both"/>
        <w:rPr>
          <w:u w:val="none"/>
        </w:rPr>
      </w:pPr>
      <w:r>
        <w:rPr>
          <w:u w:val="none"/>
        </w:rPr>
        <w:lastRenderedPageBreak/>
        <w:t>Introduction</w:t>
      </w:r>
    </w:p>
    <w:p w14:paraId="1DAEA87A" w14:textId="65F8F6F3" w:rsidR="00D47991" w:rsidRDefault="00DF3F80">
      <w:pPr>
        <w:spacing w:after="160" w:line="480" w:lineRule="auto"/>
        <w:jc w:val="both"/>
        <w:rPr>
          <w:sz w:val="24"/>
          <w:szCs w:val="24"/>
        </w:rPr>
      </w:pPr>
      <w:r>
        <w:rPr>
          <w:sz w:val="24"/>
          <w:szCs w:val="24"/>
        </w:rPr>
        <w:t xml:space="preserve">The year 2020 will be remembered for many events, some of which the world would rather forget. But if there is a bright spot, it is the way in which disparities highlighted by the Covid-19 pandemic and police violence have broadened support for social justice. The </w:t>
      </w:r>
      <w:r w:rsidR="00AC3A04">
        <w:rPr>
          <w:sz w:val="24"/>
          <w:szCs w:val="24"/>
        </w:rPr>
        <w:t xml:space="preserve">latter </w:t>
      </w:r>
      <w:r>
        <w:rPr>
          <w:sz w:val="24"/>
          <w:szCs w:val="24"/>
        </w:rPr>
        <w:t xml:space="preserve">movement advocates for compassionate distribution of resources and power, equitable participation in processes of economic growth, and the redesign of institutions, systems, and policies to support equal rights, opportunities, and treatment for everyone. </w:t>
      </w:r>
      <w:r w:rsidR="008F68EC">
        <w:rPr>
          <w:sz w:val="24"/>
          <w:szCs w:val="24"/>
        </w:rPr>
        <w:t>B</w:t>
      </w:r>
      <w:r>
        <w:rPr>
          <w:sz w:val="24"/>
          <w:szCs w:val="24"/>
        </w:rPr>
        <w:t xml:space="preserve">attles </w:t>
      </w:r>
      <w:r w:rsidR="008F68EC">
        <w:rPr>
          <w:sz w:val="24"/>
          <w:szCs w:val="24"/>
        </w:rPr>
        <w:t xml:space="preserve">against </w:t>
      </w:r>
      <w:r>
        <w:rPr>
          <w:sz w:val="24"/>
          <w:szCs w:val="24"/>
        </w:rPr>
        <w:t>cultural domina</w:t>
      </w:r>
      <w:r w:rsidR="0032302B">
        <w:rPr>
          <w:sz w:val="24"/>
          <w:szCs w:val="24"/>
        </w:rPr>
        <w:t>tion, stereotyping, imperialism</w:t>
      </w:r>
      <w:r>
        <w:rPr>
          <w:sz w:val="24"/>
          <w:szCs w:val="24"/>
        </w:rPr>
        <w:t xml:space="preserve"> and erasure</w:t>
      </w:r>
      <w:r w:rsidR="008F68EC">
        <w:rPr>
          <w:sz w:val="24"/>
          <w:szCs w:val="24"/>
        </w:rPr>
        <w:t xml:space="preserve"> contribute to social justice goals as well</w:t>
      </w:r>
      <w:r>
        <w:rPr>
          <w:sz w:val="24"/>
          <w:szCs w:val="24"/>
        </w:rPr>
        <w:t xml:space="preserve"> (Fraser 1997; North 2006; Cho 2017).</w:t>
      </w:r>
      <w:r w:rsidR="00B27CC4">
        <w:rPr>
          <w:sz w:val="24"/>
          <w:szCs w:val="24"/>
        </w:rPr>
        <w:t xml:space="preserve"> </w:t>
      </w:r>
      <w:r w:rsidR="0080543E">
        <w:rPr>
          <w:sz w:val="24"/>
          <w:szCs w:val="24"/>
        </w:rPr>
        <w:t>In each of these arenas, i</w:t>
      </w:r>
      <w:r>
        <w:rPr>
          <w:sz w:val="24"/>
          <w:szCs w:val="24"/>
        </w:rPr>
        <w:t xml:space="preserve">ndividuals and institutions </w:t>
      </w:r>
      <w:r w:rsidR="00F5595B">
        <w:rPr>
          <w:sz w:val="24"/>
          <w:szCs w:val="24"/>
        </w:rPr>
        <w:t xml:space="preserve">in </w:t>
      </w:r>
      <w:r>
        <w:rPr>
          <w:sz w:val="24"/>
          <w:szCs w:val="24"/>
        </w:rPr>
        <w:t xml:space="preserve">positions of privilege are asked to </w:t>
      </w:r>
      <w:r w:rsidR="00F5595B">
        <w:rPr>
          <w:sz w:val="24"/>
          <w:szCs w:val="24"/>
        </w:rPr>
        <w:t xml:space="preserve">look introspectively and use their resources to </w:t>
      </w:r>
      <w:r>
        <w:rPr>
          <w:sz w:val="24"/>
          <w:szCs w:val="24"/>
        </w:rPr>
        <w:t xml:space="preserve">support </w:t>
      </w:r>
      <w:r w:rsidR="0080543E">
        <w:rPr>
          <w:sz w:val="24"/>
          <w:szCs w:val="24"/>
        </w:rPr>
        <w:t>systemic change.</w:t>
      </w:r>
      <w:r>
        <w:rPr>
          <w:sz w:val="24"/>
          <w:szCs w:val="24"/>
        </w:rPr>
        <w:t xml:space="preserve">      </w:t>
      </w:r>
    </w:p>
    <w:p w14:paraId="50821913" w14:textId="552CD621" w:rsidR="00D47991" w:rsidRDefault="00DF3F80">
      <w:pPr>
        <w:spacing w:after="160" w:line="480" w:lineRule="auto"/>
        <w:jc w:val="both"/>
        <w:rPr>
          <w:sz w:val="24"/>
          <w:szCs w:val="24"/>
        </w:rPr>
      </w:pPr>
      <w:r>
        <w:rPr>
          <w:sz w:val="24"/>
          <w:szCs w:val="24"/>
        </w:rPr>
        <w:t>While long considered outside the purview of museum interests and operations, active engagement with social justice has over the last several decades become increasingly mainstream</w:t>
      </w:r>
      <w:r w:rsidR="00B27CC4">
        <w:rPr>
          <w:sz w:val="24"/>
          <w:szCs w:val="24"/>
        </w:rPr>
        <w:t xml:space="preserve"> </w:t>
      </w:r>
      <w:r>
        <w:rPr>
          <w:sz w:val="24"/>
          <w:szCs w:val="24"/>
        </w:rPr>
        <w:t>(</w:t>
      </w:r>
      <w:proofErr w:type="spellStart"/>
      <w:r>
        <w:rPr>
          <w:sz w:val="24"/>
          <w:szCs w:val="24"/>
        </w:rPr>
        <w:t>Witcomb</w:t>
      </w:r>
      <w:proofErr w:type="spellEnd"/>
      <w:r>
        <w:rPr>
          <w:sz w:val="24"/>
          <w:szCs w:val="24"/>
        </w:rPr>
        <w:t xml:space="preserve"> 2003; Reilly 2018; Janes and </w:t>
      </w:r>
      <w:proofErr w:type="spellStart"/>
      <w:r>
        <w:rPr>
          <w:sz w:val="24"/>
          <w:szCs w:val="24"/>
        </w:rPr>
        <w:t>Sandell</w:t>
      </w:r>
      <w:proofErr w:type="spellEnd"/>
      <w:r>
        <w:rPr>
          <w:sz w:val="24"/>
          <w:szCs w:val="24"/>
        </w:rPr>
        <w:t xml:space="preserve"> 2019; Chynoweth et al. 2020). This has been thanks, in part, to efforts spearheaded in the 1990s and early 2000s by professional museum organizations (for example, </w:t>
      </w:r>
      <w:proofErr w:type="spellStart"/>
      <w:r>
        <w:rPr>
          <w:sz w:val="24"/>
          <w:szCs w:val="24"/>
        </w:rPr>
        <w:t>Hirzy</w:t>
      </w:r>
      <w:proofErr w:type="spellEnd"/>
      <w:r>
        <w:rPr>
          <w:sz w:val="24"/>
          <w:szCs w:val="24"/>
        </w:rPr>
        <w:t xml:space="preserve"> 1992), but also the hidden labour of individual museums and practitioners who pushed the agenda forward at the grassroots level (Jennings and Jones-</w:t>
      </w:r>
      <w:proofErr w:type="spellStart"/>
      <w:r>
        <w:rPr>
          <w:sz w:val="24"/>
          <w:szCs w:val="24"/>
        </w:rPr>
        <w:t>Rizzi</w:t>
      </w:r>
      <w:proofErr w:type="spellEnd"/>
      <w:r>
        <w:rPr>
          <w:sz w:val="24"/>
          <w:szCs w:val="24"/>
        </w:rPr>
        <w:t xml:space="preserve"> 2017). More recently the mantle has been taken up by independent coalitions like Museum Hue, </w:t>
      </w:r>
      <w:proofErr w:type="spellStart"/>
      <w:r>
        <w:rPr>
          <w:sz w:val="24"/>
          <w:szCs w:val="24"/>
        </w:rPr>
        <w:t>Incluseum</w:t>
      </w:r>
      <w:proofErr w:type="spellEnd"/>
      <w:r>
        <w:rPr>
          <w:sz w:val="24"/>
          <w:szCs w:val="24"/>
        </w:rPr>
        <w:t>, and Museum Commons. A clear sign of sea change, in 2019 the International Council of Museums proposed a modification to the definition of the word ‘museum’ to emphasi</w:t>
      </w:r>
      <w:r w:rsidR="00B27CC4">
        <w:rPr>
          <w:sz w:val="24"/>
          <w:szCs w:val="24"/>
        </w:rPr>
        <w:t>ze</w:t>
      </w:r>
      <w:r>
        <w:rPr>
          <w:sz w:val="24"/>
          <w:szCs w:val="24"/>
        </w:rPr>
        <w:t xml:space="preserve"> the integral </w:t>
      </w:r>
      <w:r>
        <w:rPr>
          <w:sz w:val="24"/>
          <w:szCs w:val="24"/>
        </w:rPr>
        <w:lastRenderedPageBreak/>
        <w:t>nature of inclusivity and social justice</w:t>
      </w:r>
      <w:r w:rsidR="00F5595B">
        <w:rPr>
          <w:sz w:val="24"/>
          <w:szCs w:val="24"/>
        </w:rPr>
        <w:t xml:space="preserve"> for the field</w:t>
      </w:r>
      <w:r>
        <w:rPr>
          <w:sz w:val="24"/>
          <w:szCs w:val="24"/>
        </w:rPr>
        <w:t>.</w:t>
      </w:r>
      <w:r>
        <w:rPr>
          <w:sz w:val="24"/>
          <w:szCs w:val="24"/>
          <w:vertAlign w:val="superscript"/>
        </w:rPr>
        <w:footnoteReference w:id="1"/>
      </w:r>
      <w:r>
        <w:rPr>
          <w:sz w:val="24"/>
          <w:szCs w:val="24"/>
        </w:rPr>
        <w:t xml:space="preserve"> The move has been controvers</w:t>
      </w:r>
      <w:r w:rsidR="00B27CC4">
        <w:rPr>
          <w:sz w:val="24"/>
          <w:szCs w:val="24"/>
        </w:rPr>
        <w:t>ial</w:t>
      </w:r>
      <w:r>
        <w:rPr>
          <w:sz w:val="24"/>
          <w:szCs w:val="24"/>
        </w:rPr>
        <w:t>. Pushback centres on accusations of misinformation, propaganda, and fabricati</w:t>
      </w:r>
      <w:r w:rsidR="00B27CC4">
        <w:rPr>
          <w:sz w:val="24"/>
          <w:szCs w:val="24"/>
        </w:rPr>
        <w:t xml:space="preserve">on </w:t>
      </w:r>
      <w:r>
        <w:rPr>
          <w:sz w:val="24"/>
          <w:szCs w:val="24"/>
        </w:rPr>
        <w:t xml:space="preserve"> or </w:t>
      </w:r>
      <w:r w:rsidR="00B27CC4">
        <w:rPr>
          <w:sz w:val="24"/>
          <w:szCs w:val="24"/>
        </w:rPr>
        <w:t>distortions of</w:t>
      </w:r>
      <w:r>
        <w:rPr>
          <w:sz w:val="24"/>
          <w:szCs w:val="24"/>
        </w:rPr>
        <w:t xml:space="preserve"> facts to suit progressive agendas, </w:t>
      </w:r>
      <w:r w:rsidR="00B27CC4">
        <w:rPr>
          <w:sz w:val="24"/>
          <w:szCs w:val="24"/>
        </w:rPr>
        <w:t>as well as</w:t>
      </w:r>
      <w:r>
        <w:rPr>
          <w:sz w:val="24"/>
          <w:szCs w:val="24"/>
        </w:rPr>
        <w:t xml:space="preserve"> the inappropriateness of abandoning objectivity to support social ends (</w:t>
      </w:r>
      <w:proofErr w:type="spellStart"/>
      <w:r>
        <w:rPr>
          <w:sz w:val="24"/>
          <w:szCs w:val="24"/>
        </w:rPr>
        <w:t>Sandell</w:t>
      </w:r>
      <w:proofErr w:type="spellEnd"/>
      <w:r>
        <w:rPr>
          <w:sz w:val="24"/>
          <w:szCs w:val="24"/>
        </w:rPr>
        <w:t xml:space="preserve"> 2002; Cameron 2007; Nightingale and </w:t>
      </w:r>
      <w:proofErr w:type="spellStart"/>
      <w:r>
        <w:rPr>
          <w:sz w:val="24"/>
          <w:szCs w:val="24"/>
        </w:rPr>
        <w:t>Sandell</w:t>
      </w:r>
      <w:proofErr w:type="spellEnd"/>
      <w:r>
        <w:rPr>
          <w:sz w:val="24"/>
          <w:szCs w:val="24"/>
        </w:rPr>
        <w:t xml:space="preserve"> 2012; Arnold-de </w:t>
      </w:r>
      <w:proofErr w:type="spellStart"/>
      <w:r>
        <w:rPr>
          <w:sz w:val="24"/>
          <w:szCs w:val="24"/>
        </w:rPr>
        <w:t>Simine</w:t>
      </w:r>
      <w:proofErr w:type="spellEnd"/>
      <w:r>
        <w:rPr>
          <w:sz w:val="24"/>
          <w:szCs w:val="24"/>
        </w:rPr>
        <w:t xml:space="preserve"> 2013; </w:t>
      </w:r>
      <w:r>
        <w:rPr>
          <w:sz w:val="24"/>
          <w:szCs w:val="24"/>
          <w:highlight w:val="white"/>
        </w:rPr>
        <w:t>Museums Association</w:t>
      </w:r>
      <w:r>
        <w:rPr>
          <w:sz w:val="24"/>
          <w:szCs w:val="24"/>
        </w:rPr>
        <w:t xml:space="preserve"> 2017; </w:t>
      </w:r>
      <w:proofErr w:type="spellStart"/>
      <w:r>
        <w:rPr>
          <w:sz w:val="24"/>
          <w:szCs w:val="24"/>
        </w:rPr>
        <w:t>Orloff</w:t>
      </w:r>
      <w:proofErr w:type="spellEnd"/>
      <w:r>
        <w:rPr>
          <w:sz w:val="24"/>
          <w:szCs w:val="24"/>
        </w:rPr>
        <w:t xml:space="preserve"> 2017; Ng et al. 2017; Gonzales 2020).</w:t>
      </w:r>
      <w:r>
        <w:rPr>
          <w:sz w:val="24"/>
          <w:szCs w:val="24"/>
          <w:vertAlign w:val="superscript"/>
        </w:rPr>
        <w:footnoteReference w:id="2"/>
      </w:r>
      <w:r>
        <w:rPr>
          <w:sz w:val="24"/>
          <w:szCs w:val="24"/>
        </w:rPr>
        <w:t xml:space="preserve"> More recently, the deaccession and sale of collections to fund social justice initiatives has come under fire from the public and professional organizations (McCauley 2020).</w:t>
      </w:r>
      <w:r>
        <w:rPr>
          <w:sz w:val="24"/>
          <w:szCs w:val="24"/>
          <w:vertAlign w:val="superscript"/>
        </w:rPr>
        <w:footnoteReference w:id="3"/>
      </w:r>
      <w:r>
        <w:rPr>
          <w:sz w:val="24"/>
          <w:szCs w:val="24"/>
        </w:rPr>
        <w:t xml:space="preserve"> </w:t>
      </w:r>
    </w:p>
    <w:p w14:paraId="2A08D60E" w14:textId="0BDC14D0" w:rsidR="00D47991" w:rsidRDefault="00B97F0A">
      <w:pPr>
        <w:spacing w:after="160" w:line="480" w:lineRule="auto"/>
        <w:jc w:val="both"/>
        <w:rPr>
          <w:sz w:val="24"/>
          <w:szCs w:val="24"/>
        </w:rPr>
      </w:pPr>
      <w:commentRangeStart w:id="9"/>
      <w:r>
        <w:rPr>
          <w:sz w:val="24"/>
        </w:rPr>
        <w:t>Regardless of</w:t>
      </w:r>
      <w:r w:rsidR="00A40057">
        <w:rPr>
          <w:sz w:val="24"/>
        </w:rPr>
        <w:t xml:space="preserve"> whether or not museums </w:t>
      </w:r>
      <w:r w:rsidR="00A40057">
        <w:rPr>
          <w:i/>
          <w:sz w:val="24"/>
        </w:rPr>
        <w:t>should</w:t>
      </w:r>
      <w:r w:rsidR="00A40057">
        <w:rPr>
          <w:sz w:val="24"/>
        </w:rPr>
        <w:t xml:space="preserve"> engage in social justice</w:t>
      </w:r>
      <w:r>
        <w:rPr>
          <w:sz w:val="24"/>
        </w:rPr>
        <w:t xml:space="preserve"> work</w:t>
      </w:r>
      <w:r w:rsidR="00A40057">
        <w:rPr>
          <w:sz w:val="24"/>
        </w:rPr>
        <w:t xml:space="preserve"> (we strongly believe the answer is ‘yes’),</w:t>
      </w:r>
      <w:r w:rsidR="001C1E2F">
        <w:rPr>
          <w:sz w:val="24"/>
          <w:szCs w:val="24"/>
        </w:rPr>
        <w:t xml:space="preserve"> </w:t>
      </w:r>
      <w:r>
        <w:rPr>
          <w:sz w:val="24"/>
          <w:szCs w:val="24"/>
        </w:rPr>
        <w:t xml:space="preserve">their potential to do so is immense. </w:t>
      </w:r>
      <w:commentRangeEnd w:id="9"/>
      <w:r w:rsidR="0080543E">
        <w:rPr>
          <w:rStyle w:val="CommentReference"/>
        </w:rPr>
        <w:lastRenderedPageBreak/>
        <w:commentReference w:id="9"/>
      </w:r>
      <w:r>
        <w:rPr>
          <w:sz w:val="24"/>
          <w:szCs w:val="24"/>
        </w:rPr>
        <w:t>Preliminary research suggests that museums have the capacity to ‘</w:t>
      </w:r>
      <w:r w:rsidR="00DF3F80">
        <w:rPr>
          <w:sz w:val="24"/>
          <w:szCs w:val="24"/>
        </w:rPr>
        <w:t>reconfigur</w:t>
      </w:r>
      <w:r>
        <w:rPr>
          <w:sz w:val="24"/>
          <w:szCs w:val="24"/>
        </w:rPr>
        <w:t>e</w:t>
      </w:r>
      <w:r w:rsidR="00DF3F80">
        <w:rPr>
          <w:sz w:val="24"/>
          <w:szCs w:val="24"/>
        </w:rPr>
        <w:t xml:space="preserve"> normative moral codes’ in support of progressive human rights values (</w:t>
      </w:r>
      <w:proofErr w:type="spellStart"/>
      <w:r w:rsidR="00DF3F80">
        <w:rPr>
          <w:sz w:val="24"/>
          <w:szCs w:val="24"/>
        </w:rPr>
        <w:t>Sandell</w:t>
      </w:r>
      <w:proofErr w:type="spellEnd"/>
      <w:r w:rsidR="00DF3F80">
        <w:rPr>
          <w:sz w:val="24"/>
          <w:szCs w:val="24"/>
        </w:rPr>
        <w:t xml:space="preserve"> 2012)</w:t>
      </w:r>
      <w:r w:rsidR="00217166">
        <w:rPr>
          <w:sz w:val="24"/>
          <w:szCs w:val="24"/>
        </w:rPr>
        <w:t>;</w:t>
      </w:r>
      <w:r w:rsidR="00DF3F80">
        <w:rPr>
          <w:sz w:val="24"/>
          <w:szCs w:val="24"/>
        </w:rPr>
        <w:t xml:space="preserve"> create transformative intercultural spaces where visitors are encouraged to cross boundaries of belonging and engage in intercultural dialogue</w:t>
      </w:r>
      <w:r w:rsidR="00217166">
        <w:rPr>
          <w:sz w:val="24"/>
          <w:szCs w:val="24"/>
        </w:rPr>
        <w:t>;</w:t>
      </w:r>
      <w:r w:rsidR="00DF3F80">
        <w:rPr>
          <w:sz w:val="24"/>
          <w:szCs w:val="24"/>
          <w:vertAlign w:val="superscript"/>
        </w:rPr>
        <w:footnoteReference w:id="4"/>
      </w:r>
      <w:r w:rsidR="00DF3F80">
        <w:rPr>
          <w:sz w:val="24"/>
          <w:szCs w:val="24"/>
        </w:rPr>
        <w:t xml:space="preserve"> spark challenging conversations (Ellis 1995; </w:t>
      </w:r>
      <w:proofErr w:type="spellStart"/>
      <w:r w:rsidR="00DF3F80">
        <w:rPr>
          <w:sz w:val="24"/>
          <w:szCs w:val="24"/>
        </w:rPr>
        <w:t>Cavness</w:t>
      </w:r>
      <w:proofErr w:type="spellEnd"/>
      <w:r w:rsidR="00DF3F80">
        <w:rPr>
          <w:sz w:val="24"/>
          <w:szCs w:val="24"/>
        </w:rPr>
        <w:t xml:space="preserve"> 2019)</w:t>
      </w:r>
      <w:r w:rsidR="00217166">
        <w:rPr>
          <w:sz w:val="24"/>
          <w:szCs w:val="24"/>
        </w:rPr>
        <w:t>;</w:t>
      </w:r>
      <w:r w:rsidR="00DF3F80">
        <w:rPr>
          <w:sz w:val="24"/>
          <w:szCs w:val="24"/>
        </w:rPr>
        <w:t xml:space="preserve"> position viewers in ways that precipitate critical consciousness regarding the ethical character of daily life (</w:t>
      </w:r>
      <w:proofErr w:type="spellStart"/>
      <w:r w:rsidR="00DF3F80">
        <w:rPr>
          <w:sz w:val="24"/>
          <w:szCs w:val="24"/>
        </w:rPr>
        <w:t>Bonnell</w:t>
      </w:r>
      <w:proofErr w:type="spellEnd"/>
      <w:r w:rsidR="00DF3F80">
        <w:rPr>
          <w:sz w:val="24"/>
          <w:szCs w:val="24"/>
        </w:rPr>
        <w:t xml:space="preserve"> and Simon 2007)</w:t>
      </w:r>
      <w:r w:rsidR="00217166">
        <w:rPr>
          <w:sz w:val="24"/>
          <w:szCs w:val="24"/>
        </w:rPr>
        <w:t>;</w:t>
      </w:r>
      <w:r w:rsidR="00DF3F80">
        <w:rPr>
          <w:sz w:val="24"/>
          <w:szCs w:val="24"/>
        </w:rPr>
        <w:t xml:space="preserve"> and otherwise serve as sites for ‘critical pedagogy’ (Freire 1968) in which seeds can be planted ‘for renegotiating hegemonic relations’ (Mayo 2013). These capacities are related to positive public perceptions of museums as trustworthy sources of objective information,</w:t>
      </w:r>
      <w:r w:rsidR="00DF3F80">
        <w:rPr>
          <w:sz w:val="24"/>
          <w:szCs w:val="24"/>
          <w:vertAlign w:val="superscript"/>
        </w:rPr>
        <w:footnoteReference w:id="5"/>
      </w:r>
      <w:r w:rsidR="00DF3F80">
        <w:rPr>
          <w:sz w:val="24"/>
          <w:szCs w:val="24"/>
        </w:rPr>
        <w:t xml:space="preserve"> making them safe and supportive atmosphere</w:t>
      </w:r>
      <w:r w:rsidR="00217166">
        <w:rPr>
          <w:sz w:val="24"/>
          <w:szCs w:val="24"/>
        </w:rPr>
        <w:t>s</w:t>
      </w:r>
      <w:r w:rsidR="00DF3F80">
        <w:rPr>
          <w:sz w:val="24"/>
          <w:szCs w:val="24"/>
        </w:rPr>
        <w:t xml:space="preserve"> for meaningful experiences.</w:t>
      </w:r>
    </w:p>
    <w:p w14:paraId="30089CFF" w14:textId="1059BEE4" w:rsidR="00D47991" w:rsidRDefault="001C1E2F">
      <w:pPr>
        <w:spacing w:after="160" w:line="480" w:lineRule="auto"/>
        <w:jc w:val="both"/>
        <w:rPr>
          <w:sz w:val="24"/>
          <w:szCs w:val="24"/>
        </w:rPr>
      </w:pPr>
      <w:r w:rsidRPr="00F5595B">
        <w:rPr>
          <w:sz w:val="24"/>
          <w:szCs w:val="24"/>
        </w:rPr>
        <w:t xml:space="preserve">The authors of this article </w:t>
      </w:r>
      <w:r w:rsidR="00B97F0A">
        <w:rPr>
          <w:sz w:val="24"/>
          <w:szCs w:val="24"/>
        </w:rPr>
        <w:t>support a place for social justice within the heart of museum operations</w:t>
      </w:r>
      <w:r w:rsidRPr="00F5595B">
        <w:rPr>
          <w:sz w:val="24"/>
          <w:szCs w:val="24"/>
        </w:rPr>
        <w:t xml:space="preserve">. </w:t>
      </w:r>
      <w:r w:rsidR="00DF3F80" w:rsidRPr="00A40057">
        <w:rPr>
          <w:sz w:val="24"/>
          <w:szCs w:val="24"/>
        </w:rPr>
        <w:t>We</w:t>
      </w:r>
      <w:r w:rsidR="00DF3F80">
        <w:rPr>
          <w:sz w:val="24"/>
          <w:szCs w:val="24"/>
        </w:rPr>
        <w:t xml:space="preserve"> focus on distributive justice (more equitable inclusion) and redistributive justice (mitigating prejudice), and we argue that connecting </w:t>
      </w:r>
      <w:r w:rsidR="00DF3F80">
        <w:rPr>
          <w:sz w:val="24"/>
          <w:szCs w:val="24"/>
        </w:rPr>
        <w:lastRenderedPageBreak/>
        <w:t xml:space="preserve">individuals through narrative storytelling is a form of social justice work that can and should be undertaken by museums. After briefly reviewing the relationship between social justice, storytelling, and collaboration, we present and reflect on our work curating a </w:t>
      </w:r>
      <w:r>
        <w:rPr>
          <w:sz w:val="24"/>
          <w:szCs w:val="24"/>
        </w:rPr>
        <w:t>narrative</w:t>
      </w:r>
      <w:r w:rsidR="00DF3F80">
        <w:rPr>
          <w:sz w:val="24"/>
          <w:szCs w:val="24"/>
        </w:rPr>
        <w:t xml:space="preserve">-based and community-centred exhibition </w:t>
      </w:r>
      <w:r>
        <w:rPr>
          <w:sz w:val="24"/>
          <w:szCs w:val="24"/>
        </w:rPr>
        <w:t>design</w:t>
      </w:r>
      <w:r w:rsidR="00DF3F80">
        <w:rPr>
          <w:sz w:val="24"/>
          <w:szCs w:val="24"/>
        </w:rPr>
        <w:t xml:space="preserve">ed to infuse a social justice agenda into </w:t>
      </w:r>
      <w:commentRangeStart w:id="10"/>
      <w:commentRangeStart w:id="11"/>
      <w:r w:rsidR="00DF3F80">
        <w:rPr>
          <w:sz w:val="24"/>
          <w:szCs w:val="24"/>
        </w:rPr>
        <w:t>standard</w:t>
      </w:r>
      <w:commentRangeEnd w:id="10"/>
      <w:r w:rsidR="00217166">
        <w:rPr>
          <w:rStyle w:val="CommentReference"/>
        </w:rPr>
        <w:commentReference w:id="10"/>
      </w:r>
      <w:commentRangeEnd w:id="11"/>
      <w:r>
        <w:rPr>
          <w:rStyle w:val="CommentReference"/>
        </w:rPr>
        <w:commentReference w:id="11"/>
      </w:r>
      <w:r w:rsidR="00DF3F80">
        <w:rPr>
          <w:sz w:val="24"/>
          <w:szCs w:val="24"/>
        </w:rPr>
        <w:t xml:space="preserve"> </w:t>
      </w:r>
      <w:proofErr w:type="spellStart"/>
      <w:r w:rsidR="00DF3F80">
        <w:rPr>
          <w:sz w:val="24"/>
          <w:szCs w:val="24"/>
        </w:rPr>
        <w:t>exhibitionary</w:t>
      </w:r>
      <w:proofErr w:type="spellEnd"/>
      <w:r w:rsidR="00DF3F80">
        <w:rPr>
          <w:sz w:val="24"/>
          <w:szCs w:val="24"/>
        </w:rPr>
        <w:t xml:space="preserve"> practices and</w:t>
      </w:r>
      <w:r w:rsidR="009501EF">
        <w:rPr>
          <w:sz w:val="24"/>
          <w:szCs w:val="24"/>
        </w:rPr>
        <w:t xml:space="preserve"> to</w:t>
      </w:r>
      <w:r w:rsidR="00DF3F80">
        <w:rPr>
          <w:sz w:val="24"/>
          <w:szCs w:val="24"/>
        </w:rPr>
        <w:t xml:space="preserve"> amplify voices from our community. </w:t>
      </w:r>
    </w:p>
    <w:p w14:paraId="557BA82B" w14:textId="77777777" w:rsidR="00D47991" w:rsidRDefault="00DF3F80">
      <w:pPr>
        <w:pStyle w:val="Heading1"/>
        <w:spacing w:before="0" w:after="160" w:line="480" w:lineRule="auto"/>
        <w:jc w:val="both"/>
        <w:rPr>
          <w:u w:val="none"/>
        </w:rPr>
      </w:pPr>
      <w:bookmarkStart w:id="12" w:name="_heading=h.3znysh7" w:colFirst="0" w:colLast="0"/>
      <w:bookmarkEnd w:id="12"/>
      <w:r>
        <w:rPr>
          <w:u w:val="none"/>
        </w:rPr>
        <w:t xml:space="preserve">Curating for Social Justice </w:t>
      </w:r>
    </w:p>
    <w:p w14:paraId="03EF690B" w14:textId="59ED8F81" w:rsidR="00D47991" w:rsidRDefault="00DF3F80">
      <w:pPr>
        <w:spacing w:after="160" w:line="480" w:lineRule="auto"/>
        <w:jc w:val="both"/>
        <w:rPr>
          <w:sz w:val="24"/>
          <w:szCs w:val="24"/>
        </w:rPr>
      </w:pPr>
      <w:r>
        <w:rPr>
          <w:sz w:val="24"/>
          <w:szCs w:val="24"/>
        </w:rPr>
        <w:t xml:space="preserve">Over the last several decades, scholars have </w:t>
      </w:r>
      <w:r w:rsidR="001C1E2F">
        <w:rPr>
          <w:sz w:val="24"/>
          <w:szCs w:val="24"/>
        </w:rPr>
        <w:t>trac</w:t>
      </w:r>
      <w:r>
        <w:rPr>
          <w:sz w:val="24"/>
          <w:szCs w:val="24"/>
        </w:rPr>
        <w:t xml:space="preserve">ed the roots of cherished museums </w:t>
      </w:r>
      <w:r w:rsidR="00B97F0A">
        <w:rPr>
          <w:sz w:val="24"/>
          <w:szCs w:val="24"/>
        </w:rPr>
        <w:t xml:space="preserve">to include </w:t>
      </w:r>
      <w:r>
        <w:rPr>
          <w:sz w:val="24"/>
          <w:szCs w:val="24"/>
        </w:rPr>
        <w:t xml:space="preserve">oppression, prejudice, and </w:t>
      </w:r>
      <w:r w:rsidR="001C1E2F">
        <w:rPr>
          <w:sz w:val="24"/>
          <w:szCs w:val="24"/>
        </w:rPr>
        <w:t>inequali</w:t>
      </w:r>
      <w:r>
        <w:rPr>
          <w:sz w:val="24"/>
          <w:szCs w:val="24"/>
        </w:rPr>
        <w:t xml:space="preserve">ty, </w:t>
      </w:r>
      <w:r w:rsidR="00217166">
        <w:rPr>
          <w:sz w:val="24"/>
          <w:szCs w:val="24"/>
        </w:rPr>
        <w:t>while</w:t>
      </w:r>
      <w:r w:rsidR="00F5595B">
        <w:rPr>
          <w:sz w:val="24"/>
          <w:szCs w:val="24"/>
        </w:rPr>
        <w:t xml:space="preserve"> also</w:t>
      </w:r>
      <w:r>
        <w:rPr>
          <w:sz w:val="24"/>
          <w:szCs w:val="24"/>
        </w:rPr>
        <w:t xml:space="preserve"> illuminat</w:t>
      </w:r>
      <w:r w:rsidR="00217166">
        <w:rPr>
          <w:sz w:val="24"/>
          <w:szCs w:val="24"/>
        </w:rPr>
        <w:t>ing</w:t>
      </w:r>
      <w:r>
        <w:rPr>
          <w:sz w:val="24"/>
          <w:szCs w:val="24"/>
        </w:rPr>
        <w:t xml:space="preserve"> </w:t>
      </w:r>
      <w:r w:rsidR="00217166">
        <w:rPr>
          <w:sz w:val="24"/>
          <w:szCs w:val="24"/>
        </w:rPr>
        <w:t xml:space="preserve">the role of </w:t>
      </w:r>
      <w:r>
        <w:rPr>
          <w:sz w:val="24"/>
          <w:szCs w:val="24"/>
        </w:rPr>
        <w:t xml:space="preserve">contemporary museology </w:t>
      </w:r>
      <w:r w:rsidR="00217166">
        <w:rPr>
          <w:sz w:val="24"/>
          <w:szCs w:val="24"/>
        </w:rPr>
        <w:t xml:space="preserve">in perpetuating </w:t>
      </w:r>
      <w:r>
        <w:rPr>
          <w:sz w:val="24"/>
          <w:szCs w:val="24"/>
        </w:rPr>
        <w:t>these phenomena. In response, many museums have engaged in critical institutional inquiry - asking how</w:t>
      </w:r>
      <w:r w:rsidR="00B97F0A">
        <w:rPr>
          <w:sz w:val="24"/>
          <w:szCs w:val="24"/>
        </w:rPr>
        <w:t xml:space="preserve"> contemporary</w:t>
      </w:r>
      <w:r>
        <w:rPr>
          <w:sz w:val="24"/>
          <w:szCs w:val="24"/>
        </w:rPr>
        <w:t xml:space="preserve"> policies and practices perpetuate </w:t>
      </w:r>
      <w:r w:rsidR="00B97F0A">
        <w:rPr>
          <w:sz w:val="24"/>
          <w:szCs w:val="24"/>
        </w:rPr>
        <w:t>problematic legacies</w:t>
      </w:r>
      <w:r>
        <w:rPr>
          <w:sz w:val="24"/>
          <w:szCs w:val="24"/>
        </w:rPr>
        <w:t xml:space="preserve">, and calling out the cultural norms, popular ideas, and historical patterns that undergird disparities (Bennett 1995; Hooper-Greenhill 1992, 2008; Lynch and </w:t>
      </w:r>
      <w:proofErr w:type="spellStart"/>
      <w:r>
        <w:rPr>
          <w:sz w:val="24"/>
          <w:szCs w:val="24"/>
        </w:rPr>
        <w:t>Alberti</w:t>
      </w:r>
      <w:proofErr w:type="spellEnd"/>
      <w:r>
        <w:rPr>
          <w:sz w:val="24"/>
          <w:szCs w:val="24"/>
        </w:rPr>
        <w:t xml:space="preserve"> 2010: 13-14; Fischer et al. 2017; Jennings and Jones-</w:t>
      </w:r>
      <w:proofErr w:type="spellStart"/>
      <w:r>
        <w:rPr>
          <w:sz w:val="24"/>
          <w:szCs w:val="24"/>
        </w:rPr>
        <w:t>Rizzi</w:t>
      </w:r>
      <w:proofErr w:type="spellEnd"/>
      <w:r>
        <w:rPr>
          <w:sz w:val="24"/>
          <w:szCs w:val="24"/>
        </w:rPr>
        <w:t xml:space="preserve"> 2017: 72-73). In the area of exhibitions, the telling of familiar, triumphant, and patriotic stories that offer discursive closure based on approved knowledge has been questioned as elitist and exclusionary, and new strategies have been developed for leaning into difficult subjects that complicate reality, expose dissen</w:t>
      </w:r>
      <w:r w:rsidR="001C1E2F">
        <w:rPr>
          <w:sz w:val="24"/>
          <w:szCs w:val="24"/>
        </w:rPr>
        <w:t>t</w:t>
      </w:r>
      <w:r>
        <w:rPr>
          <w:sz w:val="24"/>
          <w:szCs w:val="24"/>
        </w:rPr>
        <w:t xml:space="preserve"> and ignite uncomfortable conversations (</w:t>
      </w:r>
      <w:proofErr w:type="spellStart"/>
      <w:r>
        <w:rPr>
          <w:sz w:val="24"/>
          <w:szCs w:val="24"/>
        </w:rPr>
        <w:t>Bonnell</w:t>
      </w:r>
      <w:proofErr w:type="spellEnd"/>
      <w:r>
        <w:rPr>
          <w:sz w:val="24"/>
          <w:szCs w:val="24"/>
        </w:rPr>
        <w:t xml:space="preserve"> and Simon 2007; </w:t>
      </w:r>
      <w:proofErr w:type="spellStart"/>
      <w:r>
        <w:rPr>
          <w:sz w:val="24"/>
          <w:szCs w:val="24"/>
        </w:rPr>
        <w:t>Teslow</w:t>
      </w:r>
      <w:proofErr w:type="spellEnd"/>
      <w:r>
        <w:rPr>
          <w:sz w:val="24"/>
          <w:szCs w:val="24"/>
        </w:rPr>
        <w:t xml:space="preserve"> 2007; Lynch and </w:t>
      </w:r>
      <w:proofErr w:type="spellStart"/>
      <w:r>
        <w:rPr>
          <w:sz w:val="24"/>
          <w:szCs w:val="24"/>
        </w:rPr>
        <w:t>Alberti</w:t>
      </w:r>
      <w:proofErr w:type="spellEnd"/>
      <w:r>
        <w:rPr>
          <w:sz w:val="24"/>
          <w:szCs w:val="24"/>
        </w:rPr>
        <w:t xml:space="preserve"> 2010; Simon 2011; Mayo 2013; Adams 2017). </w:t>
      </w:r>
    </w:p>
    <w:p w14:paraId="129D824C" w14:textId="09671D42" w:rsidR="00D47991" w:rsidRDefault="00DF3F80">
      <w:pPr>
        <w:spacing w:after="160" w:line="480" w:lineRule="auto"/>
        <w:jc w:val="both"/>
        <w:rPr>
          <w:sz w:val="24"/>
          <w:szCs w:val="24"/>
        </w:rPr>
      </w:pPr>
      <w:r>
        <w:rPr>
          <w:sz w:val="24"/>
          <w:szCs w:val="24"/>
        </w:rPr>
        <w:t xml:space="preserve">Such an approach to curatorial work is not only inherently controversial, but it must be undertaken with great care so as not </w:t>
      </w:r>
      <w:r w:rsidR="00217166">
        <w:rPr>
          <w:sz w:val="24"/>
          <w:szCs w:val="24"/>
        </w:rPr>
        <w:t xml:space="preserve">to </w:t>
      </w:r>
      <w:r>
        <w:rPr>
          <w:sz w:val="24"/>
          <w:szCs w:val="24"/>
        </w:rPr>
        <w:t xml:space="preserve">unintentionally perpetuate the </w:t>
      </w:r>
      <w:r>
        <w:rPr>
          <w:sz w:val="24"/>
          <w:szCs w:val="24"/>
        </w:rPr>
        <w:lastRenderedPageBreak/>
        <w:t xml:space="preserve">exploitation, exclusion, and disempowerment it is intended to redress (Peers and Brown 2003; Chynoweth et al. 2020). Tracy </w:t>
      </w:r>
      <w:proofErr w:type="spellStart"/>
      <w:r>
        <w:rPr>
          <w:sz w:val="24"/>
          <w:szCs w:val="24"/>
        </w:rPr>
        <w:t>Teslow</w:t>
      </w:r>
      <w:proofErr w:type="spellEnd"/>
      <w:r>
        <w:rPr>
          <w:sz w:val="24"/>
          <w:szCs w:val="24"/>
        </w:rPr>
        <w:t xml:space="preserve"> (2007) writes, for example, of an exhibition that was conceived as transgressive in showcasing portraits of poor black men in a dignified manner. But the men were presented anonymous</w:t>
      </w:r>
      <w:r w:rsidR="008929FC">
        <w:rPr>
          <w:sz w:val="24"/>
          <w:szCs w:val="24"/>
        </w:rPr>
        <w:t>ly</w:t>
      </w:r>
      <w:r>
        <w:rPr>
          <w:sz w:val="24"/>
          <w:szCs w:val="24"/>
        </w:rPr>
        <w:t>, making the exhibition seem less about demanding ‘dignity and empowerment’ for the marginalized than ‘capitalizing on commerce in blackness’ (</w:t>
      </w:r>
      <w:proofErr w:type="spellStart"/>
      <w:r>
        <w:rPr>
          <w:sz w:val="24"/>
          <w:szCs w:val="24"/>
        </w:rPr>
        <w:t>Teslow</w:t>
      </w:r>
      <w:proofErr w:type="spellEnd"/>
      <w:r>
        <w:rPr>
          <w:sz w:val="24"/>
          <w:szCs w:val="24"/>
        </w:rPr>
        <w:t xml:space="preserve"> 2007: 28). A formulaic and opportunistic ‘spectacle of suffering’ (</w:t>
      </w:r>
      <w:proofErr w:type="spellStart"/>
      <w:r>
        <w:rPr>
          <w:sz w:val="24"/>
          <w:szCs w:val="24"/>
        </w:rPr>
        <w:t>Bonnell</w:t>
      </w:r>
      <w:proofErr w:type="spellEnd"/>
      <w:r>
        <w:rPr>
          <w:sz w:val="24"/>
          <w:szCs w:val="24"/>
        </w:rPr>
        <w:t xml:space="preserve"> and Simon 2007: 74) does not broaden representation or dismantle the status quo; the approach only reinforces existing problematic practices. Cassandra R. </w:t>
      </w:r>
      <w:proofErr w:type="spellStart"/>
      <w:r>
        <w:rPr>
          <w:sz w:val="24"/>
          <w:szCs w:val="24"/>
        </w:rPr>
        <w:t>Cavness</w:t>
      </w:r>
      <w:proofErr w:type="spellEnd"/>
      <w:r>
        <w:rPr>
          <w:sz w:val="24"/>
          <w:szCs w:val="24"/>
        </w:rPr>
        <w:t xml:space="preserve"> (2019) similarly compares </w:t>
      </w:r>
      <w:r w:rsidR="001C1E2F">
        <w:rPr>
          <w:sz w:val="24"/>
          <w:szCs w:val="24"/>
        </w:rPr>
        <w:t xml:space="preserve">the Legacy Museum and the Museum of </w:t>
      </w:r>
      <w:r>
        <w:rPr>
          <w:sz w:val="24"/>
          <w:szCs w:val="24"/>
        </w:rPr>
        <w:t xml:space="preserve">Alabama. </w:t>
      </w:r>
      <w:r w:rsidR="00F5595B">
        <w:rPr>
          <w:sz w:val="24"/>
          <w:szCs w:val="24"/>
        </w:rPr>
        <w:t xml:space="preserve">The former </w:t>
      </w:r>
      <w:r>
        <w:rPr>
          <w:sz w:val="24"/>
          <w:szCs w:val="24"/>
        </w:rPr>
        <w:t xml:space="preserve">unabashedly confronts visitors with the </w:t>
      </w:r>
      <w:r w:rsidR="00B97F0A">
        <w:rPr>
          <w:sz w:val="24"/>
          <w:szCs w:val="24"/>
        </w:rPr>
        <w:t xml:space="preserve">harsh realities </w:t>
      </w:r>
      <w:r>
        <w:rPr>
          <w:sz w:val="24"/>
          <w:szCs w:val="24"/>
        </w:rPr>
        <w:t xml:space="preserve">of slavery and injustices of the contemporary American legal system. The </w:t>
      </w:r>
      <w:r w:rsidR="00F5595B">
        <w:rPr>
          <w:sz w:val="24"/>
          <w:szCs w:val="24"/>
        </w:rPr>
        <w:t>latter</w:t>
      </w:r>
      <w:r>
        <w:rPr>
          <w:sz w:val="24"/>
          <w:szCs w:val="24"/>
        </w:rPr>
        <w:t xml:space="preserve">, </w:t>
      </w:r>
      <w:proofErr w:type="spellStart"/>
      <w:r>
        <w:rPr>
          <w:sz w:val="24"/>
          <w:szCs w:val="24"/>
        </w:rPr>
        <w:t>Cavness</w:t>
      </w:r>
      <w:proofErr w:type="spellEnd"/>
      <w:r>
        <w:rPr>
          <w:sz w:val="24"/>
          <w:szCs w:val="24"/>
        </w:rPr>
        <w:t xml:space="preserve"> argues, </w:t>
      </w:r>
      <w:commentRangeStart w:id="13"/>
      <w:commentRangeStart w:id="14"/>
      <w:r w:rsidR="00F5595B">
        <w:rPr>
          <w:sz w:val="24"/>
          <w:szCs w:val="24"/>
        </w:rPr>
        <w:t xml:space="preserve">uses </w:t>
      </w:r>
      <w:r w:rsidR="001C1E2F">
        <w:rPr>
          <w:sz w:val="24"/>
          <w:szCs w:val="24"/>
        </w:rPr>
        <w:t xml:space="preserve">insensitive </w:t>
      </w:r>
      <w:r>
        <w:rPr>
          <w:sz w:val="24"/>
          <w:szCs w:val="24"/>
        </w:rPr>
        <w:t>design choices</w:t>
      </w:r>
      <w:r w:rsidR="001C1E2F">
        <w:rPr>
          <w:sz w:val="24"/>
          <w:szCs w:val="24"/>
        </w:rPr>
        <w:t xml:space="preserve"> that can make visitors feel unwelcome </w:t>
      </w:r>
      <w:r>
        <w:rPr>
          <w:sz w:val="24"/>
          <w:szCs w:val="24"/>
        </w:rPr>
        <w:t xml:space="preserve">- for example, slave shackles paired </w:t>
      </w:r>
      <w:commentRangeEnd w:id="13"/>
      <w:r w:rsidR="008929FC">
        <w:rPr>
          <w:rStyle w:val="CommentReference"/>
        </w:rPr>
        <w:commentReference w:id="13"/>
      </w:r>
      <w:commentRangeEnd w:id="14"/>
      <w:r w:rsidR="001C1E2F">
        <w:rPr>
          <w:rStyle w:val="CommentReference"/>
        </w:rPr>
        <w:commentReference w:id="14"/>
      </w:r>
      <w:r>
        <w:rPr>
          <w:sz w:val="24"/>
          <w:szCs w:val="24"/>
        </w:rPr>
        <w:t xml:space="preserve">with a text panel that focuses on the games played by enslaved children, and a cotton gin accompanied by imagery celebrating entrepreneurship. Such representation can do more harm than good. </w:t>
      </w:r>
    </w:p>
    <w:p w14:paraId="3F9C5309" w14:textId="171E76B3" w:rsidR="00D47991" w:rsidRDefault="00DF3F80">
      <w:pPr>
        <w:spacing w:after="160" w:line="480" w:lineRule="auto"/>
        <w:jc w:val="both"/>
        <w:rPr>
          <w:sz w:val="24"/>
          <w:szCs w:val="24"/>
        </w:rPr>
      </w:pPr>
      <w:r>
        <w:rPr>
          <w:sz w:val="24"/>
          <w:szCs w:val="24"/>
        </w:rPr>
        <w:t xml:space="preserve">To avoid offensive missteps, but more importantly to truly embrace a social justice agenda, </w:t>
      </w:r>
      <w:r w:rsidR="00B97F0A">
        <w:rPr>
          <w:sz w:val="24"/>
          <w:szCs w:val="24"/>
        </w:rPr>
        <w:t>the museum field has moved toward</w:t>
      </w:r>
      <w:r>
        <w:rPr>
          <w:sz w:val="24"/>
          <w:szCs w:val="24"/>
        </w:rPr>
        <w:t xml:space="preserve"> develop</w:t>
      </w:r>
      <w:r w:rsidR="00B97F0A">
        <w:rPr>
          <w:sz w:val="24"/>
          <w:szCs w:val="24"/>
        </w:rPr>
        <w:t>ing</w:t>
      </w:r>
      <w:r>
        <w:rPr>
          <w:sz w:val="24"/>
          <w:szCs w:val="24"/>
        </w:rPr>
        <w:t xml:space="preserve"> exhibitions in collaboration with individuals who identify with the objects and subjects in question (Karp et al. 1992; Peers and Brown 2003; Golding and Modest 2013; Ng et al. 2017). Community members are asked to contribute objects, knowledge, and preferences as mechanisms to extend involvement to a broader and more inclusive range of stakeholders and to enhance accountability. But even museums with the best of intentions have experienced challenges in promoting </w:t>
      </w:r>
      <w:r>
        <w:rPr>
          <w:sz w:val="24"/>
          <w:szCs w:val="24"/>
        </w:rPr>
        <w:lastRenderedPageBreak/>
        <w:t xml:space="preserve">equitable and inclusive participation, noting for example the fraught nature of determining who counts as a ‘stakeholder’ (Bruner 1996), navigating situations where community preferences mirror hegemonic </w:t>
      </w:r>
      <w:proofErr w:type="spellStart"/>
      <w:r>
        <w:rPr>
          <w:sz w:val="24"/>
          <w:szCs w:val="24"/>
        </w:rPr>
        <w:t>positionings</w:t>
      </w:r>
      <w:proofErr w:type="spellEnd"/>
      <w:r>
        <w:rPr>
          <w:sz w:val="24"/>
          <w:szCs w:val="24"/>
        </w:rPr>
        <w:t xml:space="preserve"> or otherwise clash with curatorial expertise (</w:t>
      </w:r>
      <w:proofErr w:type="spellStart"/>
      <w:r>
        <w:rPr>
          <w:sz w:val="24"/>
          <w:szCs w:val="24"/>
        </w:rPr>
        <w:t>Momaya</w:t>
      </w:r>
      <w:proofErr w:type="spellEnd"/>
      <w:r>
        <w:rPr>
          <w:sz w:val="24"/>
          <w:szCs w:val="24"/>
        </w:rPr>
        <w:t xml:space="preserve"> 2018), reorienting staff members from approaching engagement as something to be ‘dealt with’ (Museums Association 2017), and overcoming power differentials inherent in working with marginalized populations (Watson 2007; Lynch and </w:t>
      </w:r>
      <w:proofErr w:type="spellStart"/>
      <w:r>
        <w:rPr>
          <w:sz w:val="24"/>
          <w:szCs w:val="24"/>
        </w:rPr>
        <w:t>Alberti</w:t>
      </w:r>
      <w:proofErr w:type="spellEnd"/>
      <w:r>
        <w:rPr>
          <w:sz w:val="24"/>
          <w:szCs w:val="24"/>
        </w:rPr>
        <w:t xml:space="preserve"> 2010). </w:t>
      </w:r>
      <w:r w:rsidR="008929FC">
        <w:rPr>
          <w:sz w:val="24"/>
          <w:szCs w:val="24"/>
        </w:rPr>
        <w:t xml:space="preserve">Another challenge is recognizing diversity within populations rather than assuming that the most vocal, visible, or </w:t>
      </w:r>
      <w:r w:rsidR="00B97F0A">
        <w:rPr>
          <w:sz w:val="24"/>
          <w:szCs w:val="24"/>
        </w:rPr>
        <w:t xml:space="preserve">economically </w:t>
      </w:r>
      <w:r w:rsidR="008929FC">
        <w:rPr>
          <w:sz w:val="24"/>
          <w:szCs w:val="24"/>
        </w:rPr>
        <w:t xml:space="preserve">privileged represent an entire </w:t>
      </w:r>
      <w:r w:rsidR="00F5595B">
        <w:rPr>
          <w:sz w:val="24"/>
          <w:szCs w:val="24"/>
        </w:rPr>
        <w:t>community</w:t>
      </w:r>
      <w:r w:rsidR="008929FC">
        <w:rPr>
          <w:sz w:val="24"/>
          <w:szCs w:val="24"/>
        </w:rPr>
        <w:t>.</w:t>
      </w:r>
    </w:p>
    <w:p w14:paraId="6B2A474D" w14:textId="3005A171" w:rsidR="00D47991" w:rsidRDefault="00DF3F80">
      <w:pPr>
        <w:spacing w:after="160" w:line="480" w:lineRule="auto"/>
        <w:jc w:val="both"/>
        <w:rPr>
          <w:sz w:val="24"/>
          <w:szCs w:val="24"/>
        </w:rPr>
      </w:pPr>
      <w:r>
        <w:rPr>
          <w:sz w:val="24"/>
          <w:szCs w:val="24"/>
        </w:rPr>
        <w:t xml:space="preserve">Museums have also been </w:t>
      </w:r>
      <w:r w:rsidR="00163414">
        <w:rPr>
          <w:sz w:val="24"/>
          <w:szCs w:val="24"/>
        </w:rPr>
        <w:t>criticized</w:t>
      </w:r>
      <w:r w:rsidR="001C1E2F">
        <w:rPr>
          <w:sz w:val="24"/>
          <w:szCs w:val="24"/>
        </w:rPr>
        <w:t xml:space="preserve"> </w:t>
      </w:r>
      <w:r>
        <w:rPr>
          <w:sz w:val="24"/>
          <w:szCs w:val="24"/>
        </w:rPr>
        <w:t xml:space="preserve">for constructing opportunities for participation disingenuously - as a veneer of authentic ‘voices’ invited only to lend credibility to predetermined storylines, policies, and practices (Chynoweth, et al. 2020). </w:t>
      </w:r>
      <w:r w:rsidR="0080543E">
        <w:rPr>
          <w:sz w:val="24"/>
          <w:szCs w:val="24"/>
        </w:rPr>
        <w:t xml:space="preserve">Gretchen </w:t>
      </w:r>
      <w:r>
        <w:rPr>
          <w:sz w:val="24"/>
          <w:szCs w:val="24"/>
        </w:rPr>
        <w:t xml:space="preserve">Jennings and </w:t>
      </w:r>
      <w:r w:rsidR="0080543E">
        <w:rPr>
          <w:sz w:val="24"/>
          <w:szCs w:val="24"/>
        </w:rPr>
        <w:t xml:space="preserve">Joanne </w:t>
      </w:r>
      <w:r>
        <w:rPr>
          <w:sz w:val="24"/>
          <w:szCs w:val="24"/>
        </w:rPr>
        <w:t>Jones-</w:t>
      </w:r>
      <w:proofErr w:type="spellStart"/>
      <w:r>
        <w:rPr>
          <w:sz w:val="24"/>
          <w:szCs w:val="24"/>
        </w:rPr>
        <w:t>Rizzi</w:t>
      </w:r>
      <w:proofErr w:type="spellEnd"/>
      <w:r>
        <w:rPr>
          <w:sz w:val="24"/>
          <w:szCs w:val="24"/>
        </w:rPr>
        <w:t xml:space="preserve"> (2017: 71-72) similarly point out that where community engagement is an institutional strategy for extracting information (versus a process for generating knowledge and relationships), divisions of insiders and outsiders are perpetuated and can lead to communities feeling</w:t>
      </w:r>
      <w:r>
        <w:rPr>
          <w:i/>
          <w:sz w:val="24"/>
          <w:szCs w:val="24"/>
        </w:rPr>
        <w:t xml:space="preserve"> </w:t>
      </w:r>
      <w:r>
        <w:rPr>
          <w:sz w:val="24"/>
          <w:szCs w:val="24"/>
        </w:rPr>
        <w:t>exploited</w:t>
      </w:r>
      <w:r>
        <w:rPr>
          <w:i/>
          <w:sz w:val="24"/>
          <w:szCs w:val="24"/>
        </w:rPr>
        <w:t xml:space="preserve"> </w:t>
      </w:r>
      <w:r>
        <w:rPr>
          <w:sz w:val="24"/>
          <w:szCs w:val="24"/>
        </w:rPr>
        <w:t xml:space="preserve">rather than respected and valued. Bernadette Lynch (2020) argues that in order for a museum to truly be ‘helpful’ there is a need not just </w:t>
      </w:r>
      <w:r w:rsidR="008929FC">
        <w:rPr>
          <w:sz w:val="24"/>
          <w:szCs w:val="24"/>
        </w:rPr>
        <w:t xml:space="preserve">to </w:t>
      </w:r>
      <w:r>
        <w:rPr>
          <w:sz w:val="24"/>
          <w:szCs w:val="24"/>
        </w:rPr>
        <w:t xml:space="preserve">‘engage’ the community, but to be more deliberate in support for empowerment and capacity building, treating partners as active agents rather than </w:t>
      </w:r>
      <w:r w:rsidR="008929FC">
        <w:rPr>
          <w:sz w:val="24"/>
          <w:szCs w:val="24"/>
        </w:rPr>
        <w:t xml:space="preserve">passive </w:t>
      </w:r>
      <w:r>
        <w:rPr>
          <w:sz w:val="24"/>
          <w:szCs w:val="24"/>
        </w:rPr>
        <w:t xml:space="preserve">beneficiaries, and strategizing more deliberately </w:t>
      </w:r>
      <w:r w:rsidR="008929FC">
        <w:rPr>
          <w:sz w:val="24"/>
          <w:szCs w:val="24"/>
        </w:rPr>
        <w:t xml:space="preserve">to </w:t>
      </w:r>
      <w:r>
        <w:rPr>
          <w:sz w:val="24"/>
          <w:szCs w:val="24"/>
        </w:rPr>
        <w:t xml:space="preserve">share intellectual control. </w:t>
      </w:r>
    </w:p>
    <w:p w14:paraId="4FFE364E" w14:textId="6FCF7F2D" w:rsidR="00D47991" w:rsidRDefault="00DF3F80">
      <w:pPr>
        <w:spacing w:after="160" w:line="480" w:lineRule="auto"/>
        <w:jc w:val="both"/>
        <w:rPr>
          <w:sz w:val="24"/>
          <w:szCs w:val="24"/>
        </w:rPr>
      </w:pPr>
      <w:r>
        <w:rPr>
          <w:sz w:val="24"/>
          <w:szCs w:val="24"/>
        </w:rPr>
        <w:t xml:space="preserve">One method museums have used to prioritize community concerns, expertise, and experiences (and thus to create a more hospitable environment for fostering genuine collaborations, Gonzales 2020), is centring exhibitions on oral testimony. </w:t>
      </w:r>
      <w:r w:rsidR="008929FC">
        <w:rPr>
          <w:sz w:val="24"/>
          <w:szCs w:val="24"/>
        </w:rPr>
        <w:lastRenderedPageBreak/>
        <w:t>Al</w:t>
      </w:r>
      <w:r w:rsidR="00DE0700">
        <w:rPr>
          <w:sz w:val="24"/>
          <w:szCs w:val="24"/>
        </w:rPr>
        <w:t>t</w:t>
      </w:r>
      <w:r>
        <w:rPr>
          <w:sz w:val="24"/>
          <w:szCs w:val="24"/>
        </w:rPr>
        <w:t>hough autobiographical narratives were traditionally perceived to be at odds with museums’ object-focused modus operandi (Griffiths 1989; Baxter and Marshall 2012), many now support stor</w:t>
      </w:r>
      <w:r w:rsidR="001C1E2F">
        <w:rPr>
          <w:sz w:val="24"/>
          <w:szCs w:val="24"/>
        </w:rPr>
        <w:t>ytelling</w:t>
      </w:r>
      <w:r>
        <w:rPr>
          <w:sz w:val="24"/>
          <w:szCs w:val="24"/>
        </w:rPr>
        <w:t xml:space="preserve"> as an effective strategy for broadening interpretations and curatorial fo</w:t>
      </w:r>
      <w:r w:rsidRPr="00857365">
        <w:rPr>
          <w:sz w:val="24"/>
          <w:szCs w:val="24"/>
        </w:rPr>
        <w:t>ci (</w:t>
      </w:r>
      <w:r w:rsidR="00857365" w:rsidRPr="00857365">
        <w:rPr>
          <w:sz w:val="24"/>
          <w:szCs w:val="24"/>
        </w:rPr>
        <w:t xml:space="preserve">Roberts 1997; </w:t>
      </w:r>
      <w:r w:rsidRPr="00857365">
        <w:rPr>
          <w:sz w:val="24"/>
          <w:szCs w:val="24"/>
        </w:rPr>
        <w:t xml:space="preserve">McDonnell 2003; Green 2007; Day 2009; </w:t>
      </w:r>
      <w:r w:rsidR="00857365" w:rsidRPr="00857365">
        <w:rPr>
          <w:sz w:val="24"/>
          <w:szCs w:val="24"/>
        </w:rPr>
        <w:t>Bedford 2010, 2014;</w:t>
      </w:r>
      <w:r w:rsidR="00857365">
        <w:rPr>
          <w:sz w:val="24"/>
          <w:szCs w:val="24"/>
        </w:rPr>
        <w:t xml:space="preserve"> </w:t>
      </w:r>
      <w:r>
        <w:rPr>
          <w:sz w:val="24"/>
          <w:szCs w:val="24"/>
        </w:rPr>
        <w:t xml:space="preserve">Adair, Filene, and </w:t>
      </w:r>
      <w:proofErr w:type="spellStart"/>
      <w:r>
        <w:rPr>
          <w:sz w:val="24"/>
          <w:szCs w:val="24"/>
        </w:rPr>
        <w:t>Koloski</w:t>
      </w:r>
      <w:proofErr w:type="spellEnd"/>
      <w:r>
        <w:rPr>
          <w:sz w:val="24"/>
          <w:szCs w:val="24"/>
        </w:rPr>
        <w:t xml:space="preserve"> 2011; Baxter and Marshall 2012: 61; Lowry and Duke 2015). Approaches have been diverse and creative, including exhibitions based entirely on personal narratives</w:t>
      </w:r>
      <w:r w:rsidR="008929FC">
        <w:rPr>
          <w:sz w:val="24"/>
          <w:szCs w:val="24"/>
        </w:rPr>
        <w:t>. These might use</w:t>
      </w:r>
      <w:r>
        <w:rPr>
          <w:sz w:val="24"/>
          <w:szCs w:val="24"/>
        </w:rPr>
        <w:t xml:space="preserve"> recorded stories </w:t>
      </w:r>
      <w:r w:rsidR="008929FC">
        <w:rPr>
          <w:sz w:val="24"/>
          <w:szCs w:val="24"/>
        </w:rPr>
        <w:t>in</w:t>
      </w:r>
      <w:r>
        <w:rPr>
          <w:sz w:val="24"/>
          <w:szCs w:val="24"/>
        </w:rPr>
        <w:t xml:space="preserve"> interactive elements, public performances based on oral history, and docents sharing their first-hand experiences directly with visitors (Perks 1991; Kushner 2001; Day 2006; </w:t>
      </w:r>
      <w:proofErr w:type="spellStart"/>
      <w:r>
        <w:rPr>
          <w:sz w:val="24"/>
          <w:szCs w:val="24"/>
        </w:rPr>
        <w:t>Tongo</w:t>
      </w:r>
      <w:proofErr w:type="spellEnd"/>
      <w:r>
        <w:rPr>
          <w:sz w:val="24"/>
          <w:szCs w:val="24"/>
        </w:rPr>
        <w:t xml:space="preserve"> 2006; Julius 2008; Arnold-de </w:t>
      </w:r>
      <w:proofErr w:type="spellStart"/>
      <w:r>
        <w:rPr>
          <w:sz w:val="24"/>
          <w:szCs w:val="24"/>
        </w:rPr>
        <w:t>Simine</w:t>
      </w:r>
      <w:proofErr w:type="spellEnd"/>
      <w:r>
        <w:rPr>
          <w:sz w:val="24"/>
          <w:szCs w:val="24"/>
        </w:rPr>
        <w:t xml:space="preserve"> 2013). </w:t>
      </w:r>
    </w:p>
    <w:p w14:paraId="7718DE3C" w14:textId="00EBB7BC" w:rsidR="005676A0" w:rsidRDefault="00DF3F80" w:rsidP="0080543E">
      <w:pPr>
        <w:spacing w:after="160" w:line="480" w:lineRule="auto"/>
        <w:jc w:val="both"/>
        <w:rPr>
          <w:sz w:val="24"/>
          <w:szCs w:val="24"/>
        </w:rPr>
      </w:pPr>
      <w:r>
        <w:rPr>
          <w:sz w:val="24"/>
          <w:szCs w:val="24"/>
        </w:rPr>
        <w:t xml:space="preserve">Research on ‘counter-storytelling’ (autobiographical narratives by those whose existence and experiences are silenced or made invisible by mainstream society) </w:t>
      </w:r>
      <w:r w:rsidR="001C1E2F">
        <w:rPr>
          <w:sz w:val="24"/>
          <w:szCs w:val="24"/>
        </w:rPr>
        <w:t>stresses</w:t>
      </w:r>
      <w:r>
        <w:rPr>
          <w:sz w:val="24"/>
          <w:szCs w:val="24"/>
        </w:rPr>
        <w:t xml:space="preserve"> that the opportunity to speak one’s truth, and to de-naturalize and de-centre majoritarian stories, can empower storytellers (Solórzano and </w:t>
      </w:r>
      <w:proofErr w:type="spellStart"/>
      <w:r>
        <w:rPr>
          <w:sz w:val="24"/>
          <w:szCs w:val="24"/>
        </w:rPr>
        <w:t>Yosso</w:t>
      </w:r>
      <w:proofErr w:type="spellEnd"/>
      <w:r>
        <w:rPr>
          <w:sz w:val="24"/>
          <w:szCs w:val="24"/>
        </w:rPr>
        <w:t xml:space="preserve"> 2002; </w:t>
      </w:r>
      <w:proofErr w:type="spellStart"/>
      <w:r>
        <w:rPr>
          <w:sz w:val="24"/>
          <w:szCs w:val="24"/>
        </w:rPr>
        <w:t>Wagaman</w:t>
      </w:r>
      <w:proofErr w:type="spellEnd"/>
      <w:r>
        <w:rPr>
          <w:sz w:val="24"/>
          <w:szCs w:val="24"/>
        </w:rPr>
        <w:t xml:space="preserve">, </w:t>
      </w:r>
      <w:proofErr w:type="spellStart"/>
      <w:r>
        <w:rPr>
          <w:sz w:val="24"/>
          <w:szCs w:val="24"/>
        </w:rPr>
        <w:t>Obejero</w:t>
      </w:r>
      <w:proofErr w:type="spellEnd"/>
      <w:r>
        <w:rPr>
          <w:sz w:val="24"/>
          <w:szCs w:val="24"/>
        </w:rPr>
        <w:t xml:space="preserve">, and Gregory 2018). </w:t>
      </w:r>
      <w:r w:rsidR="00F5595B">
        <w:rPr>
          <w:sz w:val="24"/>
          <w:szCs w:val="24"/>
        </w:rPr>
        <w:t>Such</w:t>
      </w:r>
      <w:r w:rsidR="008D7BB1">
        <w:rPr>
          <w:sz w:val="24"/>
          <w:szCs w:val="24"/>
        </w:rPr>
        <w:t xml:space="preserve"> </w:t>
      </w:r>
      <w:r>
        <w:rPr>
          <w:sz w:val="24"/>
          <w:szCs w:val="24"/>
        </w:rPr>
        <w:t xml:space="preserve">narratives can have profound impacts </w:t>
      </w:r>
      <w:r w:rsidR="007265DC">
        <w:rPr>
          <w:sz w:val="24"/>
          <w:szCs w:val="24"/>
        </w:rPr>
        <w:t>on</w:t>
      </w:r>
      <w:r>
        <w:rPr>
          <w:sz w:val="24"/>
          <w:szCs w:val="24"/>
        </w:rPr>
        <w:t xml:space="preserve"> </w:t>
      </w:r>
      <w:r w:rsidR="00B97F0A">
        <w:rPr>
          <w:sz w:val="24"/>
          <w:szCs w:val="24"/>
        </w:rPr>
        <w:t>story listeners</w:t>
      </w:r>
      <w:r w:rsidR="00F5595B">
        <w:rPr>
          <w:sz w:val="24"/>
          <w:szCs w:val="24"/>
        </w:rPr>
        <w:t xml:space="preserve"> as well</w:t>
      </w:r>
      <w:r w:rsidR="0080543E">
        <w:rPr>
          <w:sz w:val="24"/>
          <w:szCs w:val="24"/>
        </w:rPr>
        <w:t>, facilitating radical listening (</w:t>
      </w:r>
      <w:proofErr w:type="spellStart"/>
      <w:r w:rsidR="0080543E">
        <w:rPr>
          <w:sz w:val="24"/>
          <w:szCs w:val="24"/>
        </w:rPr>
        <w:t>Heldke</w:t>
      </w:r>
      <w:proofErr w:type="spellEnd"/>
      <w:r w:rsidR="0080543E">
        <w:rPr>
          <w:sz w:val="24"/>
          <w:szCs w:val="24"/>
        </w:rPr>
        <w:t xml:space="preserve"> 2006) and emotional engagement in ways distinct from cognitive inquiry (</w:t>
      </w:r>
      <w:proofErr w:type="spellStart"/>
      <w:r w:rsidR="0080543E">
        <w:rPr>
          <w:sz w:val="24"/>
          <w:szCs w:val="24"/>
        </w:rPr>
        <w:t>Bonnell</w:t>
      </w:r>
      <w:proofErr w:type="spellEnd"/>
      <w:r w:rsidR="0080543E">
        <w:rPr>
          <w:sz w:val="24"/>
          <w:szCs w:val="24"/>
        </w:rPr>
        <w:t xml:space="preserve"> and Simon 2007; Simon 2011; Fischer et al. 2017). </w:t>
      </w:r>
      <w:r w:rsidR="008D7BB1">
        <w:rPr>
          <w:sz w:val="24"/>
          <w:szCs w:val="24"/>
        </w:rPr>
        <w:t xml:space="preserve">While </w:t>
      </w:r>
      <w:r w:rsidR="005676A0">
        <w:rPr>
          <w:sz w:val="24"/>
          <w:szCs w:val="24"/>
        </w:rPr>
        <w:t xml:space="preserve">the effects of storytelling on museum visitors </w:t>
      </w:r>
      <w:r w:rsidR="00F5595B">
        <w:rPr>
          <w:sz w:val="24"/>
          <w:szCs w:val="24"/>
        </w:rPr>
        <w:t xml:space="preserve">specifically </w:t>
      </w:r>
      <w:r w:rsidR="005676A0">
        <w:rPr>
          <w:sz w:val="24"/>
          <w:szCs w:val="24"/>
        </w:rPr>
        <w:t>are poorly documented (</w:t>
      </w:r>
      <w:r w:rsidR="008D7BB1">
        <w:rPr>
          <w:sz w:val="24"/>
          <w:szCs w:val="24"/>
        </w:rPr>
        <w:t xml:space="preserve">Arnold-de </w:t>
      </w:r>
      <w:proofErr w:type="spellStart"/>
      <w:r w:rsidR="008D7BB1">
        <w:rPr>
          <w:sz w:val="24"/>
          <w:szCs w:val="24"/>
        </w:rPr>
        <w:t>Simine</w:t>
      </w:r>
      <w:proofErr w:type="spellEnd"/>
      <w:r w:rsidR="008D7BB1">
        <w:rPr>
          <w:sz w:val="24"/>
          <w:szCs w:val="24"/>
        </w:rPr>
        <w:t xml:space="preserve"> 2013), </w:t>
      </w:r>
      <w:r w:rsidR="00F5595B">
        <w:rPr>
          <w:sz w:val="24"/>
          <w:szCs w:val="24"/>
        </w:rPr>
        <w:t xml:space="preserve">research from other fields </w:t>
      </w:r>
      <w:r w:rsidR="005676A0">
        <w:rPr>
          <w:sz w:val="24"/>
          <w:szCs w:val="24"/>
        </w:rPr>
        <w:t>demonstrates that narratives trigger the release of neurochemicals that support attentiveness, understanding, and action (Zak 2015), make information more memorable and can generate less defensive responses from listeners than other forms of communication (Bruner 1990).</w:t>
      </w:r>
      <w:r w:rsidR="005676A0" w:rsidRPr="005676A0">
        <w:rPr>
          <w:sz w:val="24"/>
          <w:szCs w:val="24"/>
        </w:rPr>
        <w:t xml:space="preserve"> </w:t>
      </w:r>
      <w:r w:rsidR="005676A0">
        <w:rPr>
          <w:sz w:val="24"/>
          <w:szCs w:val="24"/>
        </w:rPr>
        <w:lastRenderedPageBreak/>
        <w:t xml:space="preserve">Decades of sociological research on the ‘contact hypothesis’ further </w:t>
      </w:r>
      <w:r w:rsidR="00F5595B">
        <w:rPr>
          <w:sz w:val="24"/>
          <w:szCs w:val="24"/>
        </w:rPr>
        <w:t xml:space="preserve">clarifies </w:t>
      </w:r>
      <w:r w:rsidR="005676A0">
        <w:rPr>
          <w:sz w:val="24"/>
          <w:szCs w:val="24"/>
        </w:rPr>
        <w:t>that intergroup encounters with perceived ‘Others’ are an effective strategy for reducing generalizations and oversimplifications, including misconceptions and stereotypes (</w:t>
      </w:r>
      <w:proofErr w:type="spellStart"/>
      <w:r w:rsidR="005676A0">
        <w:rPr>
          <w:sz w:val="24"/>
          <w:szCs w:val="24"/>
        </w:rPr>
        <w:t>Allport</w:t>
      </w:r>
      <w:proofErr w:type="spellEnd"/>
      <w:r w:rsidR="005676A0">
        <w:rPr>
          <w:sz w:val="24"/>
          <w:szCs w:val="24"/>
        </w:rPr>
        <w:t xml:space="preserve"> 1954; Pettigrew and Troop 2006; Dovidio, Eller, and </w:t>
      </w:r>
      <w:proofErr w:type="spellStart"/>
      <w:r w:rsidR="005676A0">
        <w:rPr>
          <w:sz w:val="24"/>
          <w:szCs w:val="24"/>
        </w:rPr>
        <w:t>Hewstone</w:t>
      </w:r>
      <w:proofErr w:type="spellEnd"/>
      <w:r w:rsidR="005676A0">
        <w:rPr>
          <w:sz w:val="24"/>
          <w:szCs w:val="24"/>
        </w:rPr>
        <w:t xml:space="preserve"> 2011).</w:t>
      </w:r>
      <w:r w:rsidR="0080543E">
        <w:rPr>
          <w:sz w:val="24"/>
          <w:szCs w:val="24"/>
        </w:rPr>
        <w:t xml:space="preserve"> </w:t>
      </w:r>
    </w:p>
    <w:p w14:paraId="5DAB1B1F" w14:textId="544F4956" w:rsidR="00D47991" w:rsidRDefault="005676A0">
      <w:pPr>
        <w:spacing w:after="160" w:line="480" w:lineRule="auto"/>
        <w:jc w:val="both"/>
        <w:rPr>
          <w:sz w:val="24"/>
          <w:szCs w:val="24"/>
        </w:rPr>
      </w:pPr>
      <w:proofErr w:type="spellStart"/>
      <w:r>
        <w:rPr>
          <w:sz w:val="24"/>
          <w:szCs w:val="24"/>
        </w:rPr>
        <w:t>Silke</w:t>
      </w:r>
      <w:proofErr w:type="spellEnd"/>
      <w:r>
        <w:rPr>
          <w:sz w:val="24"/>
          <w:szCs w:val="24"/>
        </w:rPr>
        <w:t xml:space="preserve"> </w:t>
      </w:r>
      <w:r w:rsidR="00DF3F80">
        <w:rPr>
          <w:sz w:val="24"/>
          <w:szCs w:val="24"/>
        </w:rPr>
        <w:t xml:space="preserve">Arnold-de </w:t>
      </w:r>
      <w:proofErr w:type="spellStart"/>
      <w:r w:rsidR="00DF3F80">
        <w:rPr>
          <w:sz w:val="24"/>
          <w:szCs w:val="24"/>
        </w:rPr>
        <w:t>Simine</w:t>
      </w:r>
      <w:proofErr w:type="spellEnd"/>
      <w:r w:rsidR="00DF3F80">
        <w:rPr>
          <w:sz w:val="24"/>
          <w:szCs w:val="24"/>
        </w:rPr>
        <w:t xml:space="preserve"> (2013) </w:t>
      </w:r>
      <w:r w:rsidR="00C50E0A">
        <w:rPr>
          <w:sz w:val="24"/>
          <w:szCs w:val="24"/>
        </w:rPr>
        <w:t>propose</w:t>
      </w:r>
      <w:r w:rsidR="00DF3F80">
        <w:rPr>
          <w:sz w:val="24"/>
          <w:szCs w:val="24"/>
        </w:rPr>
        <w:t>s that there could be a danger in using narratives to elicit “empathetic distress” from museum visitors: reliance on emotional connections, she argues, can lead to over</w:t>
      </w:r>
      <w:r w:rsidR="00163414">
        <w:rPr>
          <w:sz w:val="24"/>
          <w:szCs w:val="24"/>
        </w:rPr>
        <w:t>looking</w:t>
      </w:r>
      <w:r w:rsidR="00DF3F80">
        <w:rPr>
          <w:sz w:val="24"/>
          <w:szCs w:val="24"/>
        </w:rPr>
        <w:t xml:space="preserve"> broader, contextual forces that explain why personal suffering takes place and dismiss</w:t>
      </w:r>
      <w:r w:rsidR="00163414">
        <w:rPr>
          <w:sz w:val="24"/>
          <w:szCs w:val="24"/>
        </w:rPr>
        <w:t>ing</w:t>
      </w:r>
      <w:r w:rsidR="00DF3F80">
        <w:rPr>
          <w:sz w:val="24"/>
          <w:szCs w:val="24"/>
        </w:rPr>
        <w:t xml:space="preserve"> one’s responsibility to act to address them. But, </w:t>
      </w:r>
      <w:r w:rsidR="008D7BB1">
        <w:rPr>
          <w:sz w:val="24"/>
          <w:szCs w:val="24"/>
        </w:rPr>
        <w:t>Jenn</w:t>
      </w:r>
      <w:r>
        <w:rPr>
          <w:sz w:val="24"/>
          <w:szCs w:val="24"/>
        </w:rPr>
        <w:t>i</w:t>
      </w:r>
      <w:r w:rsidR="008D7BB1">
        <w:rPr>
          <w:sz w:val="24"/>
          <w:szCs w:val="24"/>
        </w:rPr>
        <w:t xml:space="preserve">fer </w:t>
      </w:r>
      <w:proofErr w:type="spellStart"/>
      <w:r w:rsidR="00DF3F80">
        <w:rPr>
          <w:sz w:val="24"/>
          <w:szCs w:val="24"/>
        </w:rPr>
        <w:t>Bonnell</w:t>
      </w:r>
      <w:proofErr w:type="spellEnd"/>
      <w:r w:rsidR="00DF3F80">
        <w:rPr>
          <w:sz w:val="24"/>
          <w:szCs w:val="24"/>
        </w:rPr>
        <w:t xml:space="preserve"> and </w:t>
      </w:r>
      <w:r w:rsidR="008D7BB1">
        <w:rPr>
          <w:sz w:val="24"/>
          <w:szCs w:val="24"/>
        </w:rPr>
        <w:t xml:space="preserve">Roger I </w:t>
      </w:r>
      <w:r w:rsidR="00DF3F80">
        <w:rPr>
          <w:sz w:val="24"/>
          <w:szCs w:val="24"/>
        </w:rPr>
        <w:t xml:space="preserve">Simon (2007) argue that the goal of storytelling in museums is not that visitors come to identify with the storyteller so much as </w:t>
      </w:r>
      <w:r w:rsidR="00C50E0A">
        <w:rPr>
          <w:sz w:val="24"/>
          <w:szCs w:val="24"/>
        </w:rPr>
        <w:t xml:space="preserve">they acknowledge </w:t>
      </w:r>
      <w:r w:rsidR="00DF3F80">
        <w:rPr>
          <w:sz w:val="24"/>
          <w:szCs w:val="24"/>
        </w:rPr>
        <w:t>and dwell upon how much they do</w:t>
      </w:r>
      <w:r w:rsidR="00DF3F80">
        <w:rPr>
          <w:i/>
          <w:sz w:val="24"/>
          <w:szCs w:val="24"/>
        </w:rPr>
        <w:t xml:space="preserve"> not </w:t>
      </w:r>
      <w:r w:rsidR="00DF3F80">
        <w:rPr>
          <w:sz w:val="24"/>
          <w:szCs w:val="24"/>
        </w:rPr>
        <w:t>know</w:t>
      </w:r>
      <w:r w:rsidR="00DF3F80">
        <w:rPr>
          <w:i/>
          <w:sz w:val="24"/>
          <w:szCs w:val="24"/>
        </w:rPr>
        <w:t xml:space="preserve"> </w:t>
      </w:r>
      <w:r w:rsidR="00DF3F80">
        <w:rPr>
          <w:sz w:val="24"/>
          <w:szCs w:val="24"/>
        </w:rPr>
        <w:t>the storyteller. In this way, listening to personal narratives has the potential to initiate a ‘reflexive critique and transformative insight’ in one’s own complicity in the peddling of established certainties and related moral groundings (</w:t>
      </w:r>
      <w:proofErr w:type="spellStart"/>
      <w:r w:rsidR="00DF3F80">
        <w:rPr>
          <w:sz w:val="24"/>
          <w:szCs w:val="24"/>
        </w:rPr>
        <w:t>Bonnell</w:t>
      </w:r>
      <w:proofErr w:type="spellEnd"/>
      <w:r w:rsidR="00DF3F80">
        <w:rPr>
          <w:sz w:val="24"/>
          <w:szCs w:val="24"/>
        </w:rPr>
        <w:t xml:space="preserve"> and Simon 2007: 69). While both perspectives are more theoretical than incontrovertible, even </w:t>
      </w:r>
      <w:proofErr w:type="spellStart"/>
      <w:r w:rsidR="00DF3F80">
        <w:rPr>
          <w:sz w:val="24"/>
          <w:szCs w:val="24"/>
        </w:rPr>
        <w:t>Arnolde</w:t>
      </w:r>
      <w:proofErr w:type="spellEnd"/>
      <w:r w:rsidR="00DF3F80">
        <w:rPr>
          <w:sz w:val="24"/>
          <w:szCs w:val="24"/>
        </w:rPr>
        <w:t xml:space="preserve">-de </w:t>
      </w:r>
      <w:proofErr w:type="spellStart"/>
      <w:r w:rsidR="00DF3F80">
        <w:rPr>
          <w:sz w:val="24"/>
          <w:szCs w:val="24"/>
        </w:rPr>
        <w:t>Simine</w:t>
      </w:r>
      <w:proofErr w:type="spellEnd"/>
      <w:r w:rsidR="00DF3F80">
        <w:rPr>
          <w:sz w:val="24"/>
          <w:szCs w:val="24"/>
        </w:rPr>
        <w:t xml:space="preserve"> concedes that there is a value in the way storytelling promotes an acknowledgment of human vulnerability. And for this, she suggests, ‘the museum is a good place to start’ (2013: 125).</w:t>
      </w:r>
    </w:p>
    <w:p w14:paraId="0FCEA79E" w14:textId="30D95A16" w:rsidR="00D47991" w:rsidRDefault="00DF3F80" w:rsidP="00E57E25">
      <w:pPr>
        <w:spacing w:after="160" w:line="480" w:lineRule="auto"/>
        <w:jc w:val="both"/>
        <w:rPr>
          <w:sz w:val="24"/>
          <w:szCs w:val="24"/>
        </w:rPr>
      </w:pPr>
      <w:r>
        <w:rPr>
          <w:sz w:val="24"/>
          <w:szCs w:val="24"/>
        </w:rPr>
        <w:t>The use of oral testimony in museums is part of broader trends in affective curation (</w:t>
      </w:r>
      <w:proofErr w:type="spellStart"/>
      <w:r>
        <w:rPr>
          <w:sz w:val="24"/>
          <w:szCs w:val="24"/>
        </w:rPr>
        <w:t>Gokcigdem</w:t>
      </w:r>
      <w:proofErr w:type="spellEnd"/>
      <w:r>
        <w:rPr>
          <w:sz w:val="24"/>
          <w:szCs w:val="24"/>
        </w:rPr>
        <w:t xml:space="preserve"> 2016, 2019; Gonzales 2020), an approach to exhibition design that </w:t>
      </w:r>
      <w:proofErr w:type="spellStart"/>
      <w:r>
        <w:rPr>
          <w:sz w:val="24"/>
          <w:szCs w:val="24"/>
        </w:rPr>
        <w:t>Teslow</w:t>
      </w:r>
      <w:proofErr w:type="spellEnd"/>
      <w:r>
        <w:rPr>
          <w:sz w:val="24"/>
          <w:szCs w:val="24"/>
        </w:rPr>
        <w:t xml:space="preserve"> (2007) traces to the 1987 exhibition </w:t>
      </w:r>
      <w:r>
        <w:rPr>
          <w:i/>
          <w:sz w:val="24"/>
          <w:szCs w:val="24"/>
        </w:rPr>
        <w:t>From Field to Factory</w:t>
      </w:r>
      <w:r>
        <w:rPr>
          <w:sz w:val="24"/>
          <w:szCs w:val="24"/>
        </w:rPr>
        <w:t xml:space="preserve">, which required visitors to acknowledge racial differences by passing between one </w:t>
      </w:r>
      <w:r>
        <w:rPr>
          <w:sz w:val="24"/>
          <w:szCs w:val="24"/>
        </w:rPr>
        <w:lastRenderedPageBreak/>
        <w:t>of two doors - one marked ‘</w:t>
      </w:r>
      <w:proofErr w:type="spellStart"/>
      <w:r>
        <w:rPr>
          <w:sz w:val="24"/>
          <w:szCs w:val="24"/>
        </w:rPr>
        <w:t>colored</w:t>
      </w:r>
      <w:proofErr w:type="spellEnd"/>
      <w:r>
        <w:rPr>
          <w:sz w:val="24"/>
          <w:szCs w:val="24"/>
        </w:rPr>
        <w:t>’</w:t>
      </w:r>
      <w:r>
        <w:rPr>
          <w:i/>
          <w:sz w:val="24"/>
          <w:szCs w:val="24"/>
        </w:rPr>
        <w:t xml:space="preserve"> [sic] </w:t>
      </w:r>
      <w:r>
        <w:rPr>
          <w:sz w:val="24"/>
          <w:szCs w:val="24"/>
        </w:rPr>
        <w:t xml:space="preserve">and the other marked ‘white.’ Elena Gonzales (2020) draws from neuroscience to argue that </w:t>
      </w:r>
      <w:r w:rsidR="00163414">
        <w:rPr>
          <w:sz w:val="24"/>
          <w:szCs w:val="24"/>
        </w:rPr>
        <w:t xml:space="preserve">such </w:t>
      </w:r>
      <w:r>
        <w:rPr>
          <w:sz w:val="24"/>
          <w:szCs w:val="24"/>
        </w:rPr>
        <w:t xml:space="preserve">museum-enabled, embodied, emotional responses can result in long-lasting memories, </w:t>
      </w:r>
      <w:r w:rsidR="00163414">
        <w:rPr>
          <w:sz w:val="24"/>
          <w:szCs w:val="24"/>
        </w:rPr>
        <w:t xml:space="preserve">which </w:t>
      </w:r>
      <w:r>
        <w:rPr>
          <w:sz w:val="24"/>
          <w:szCs w:val="24"/>
        </w:rPr>
        <w:t>are more likely than others to engender fellow-feeling and critical thinking that lead to action. In this way affective curation has the potential for personal and societal transformation, drawing on the power of emotion as integral to the development of critical consciousness (</w:t>
      </w:r>
      <w:proofErr w:type="spellStart"/>
      <w:r>
        <w:rPr>
          <w:sz w:val="24"/>
          <w:szCs w:val="24"/>
        </w:rPr>
        <w:t>Langstraat</w:t>
      </w:r>
      <w:proofErr w:type="spellEnd"/>
      <w:r>
        <w:rPr>
          <w:sz w:val="24"/>
          <w:szCs w:val="24"/>
        </w:rPr>
        <w:t xml:space="preserve"> and Bowdon 2011: 9). </w:t>
      </w:r>
    </w:p>
    <w:p w14:paraId="06010596" w14:textId="77777777" w:rsidR="00D47991" w:rsidRDefault="00DF3F80">
      <w:pPr>
        <w:pStyle w:val="Heading1"/>
        <w:spacing w:before="0" w:after="160" w:line="480" w:lineRule="auto"/>
        <w:jc w:val="both"/>
        <w:rPr>
          <w:u w:val="none"/>
        </w:rPr>
      </w:pPr>
      <w:bookmarkStart w:id="15" w:name="_heading=h.2et92p0" w:colFirst="0" w:colLast="0"/>
      <w:bookmarkEnd w:id="15"/>
      <w:proofErr w:type="spellStart"/>
      <w:r>
        <w:rPr>
          <w:u w:val="none"/>
        </w:rPr>
        <w:t>In|Dignity</w:t>
      </w:r>
      <w:proofErr w:type="spellEnd"/>
      <w:r>
        <w:rPr>
          <w:u w:val="none"/>
        </w:rPr>
        <w:t>: Advocating for and Practicing Social Justice</w:t>
      </w:r>
    </w:p>
    <w:p w14:paraId="703FECE8" w14:textId="51974B33" w:rsidR="00D47991" w:rsidRDefault="00DF3F80">
      <w:pPr>
        <w:spacing w:after="160" w:line="480" w:lineRule="auto"/>
        <w:jc w:val="both"/>
        <w:rPr>
          <w:sz w:val="24"/>
          <w:szCs w:val="24"/>
        </w:rPr>
      </w:pPr>
      <w:r>
        <w:rPr>
          <w:sz w:val="24"/>
          <w:szCs w:val="24"/>
        </w:rPr>
        <w:t xml:space="preserve">The desire to bring a social justice agenda to bear on exhibition development led the authors of this article to curate an exhibition called </w:t>
      </w:r>
      <w:proofErr w:type="spellStart"/>
      <w:r>
        <w:rPr>
          <w:i/>
          <w:sz w:val="24"/>
          <w:szCs w:val="24"/>
        </w:rPr>
        <w:t>In|Dignity</w:t>
      </w:r>
      <w:proofErr w:type="spellEnd"/>
      <w:r>
        <w:rPr>
          <w:sz w:val="24"/>
          <w:szCs w:val="24"/>
        </w:rPr>
        <w:t>.</w:t>
      </w:r>
      <w:r>
        <w:rPr>
          <w:i/>
          <w:sz w:val="24"/>
          <w:szCs w:val="24"/>
        </w:rPr>
        <w:t xml:space="preserve"> </w:t>
      </w:r>
      <w:r>
        <w:rPr>
          <w:sz w:val="24"/>
          <w:szCs w:val="24"/>
        </w:rPr>
        <w:t xml:space="preserve">We developed the show for the Anthropology Museum, a small gallery at California State University San Bernardino (CSUSB), where we are faculty members. The name </w:t>
      </w:r>
      <w:proofErr w:type="spellStart"/>
      <w:r>
        <w:rPr>
          <w:i/>
          <w:sz w:val="24"/>
          <w:szCs w:val="24"/>
        </w:rPr>
        <w:t>In|Dignity</w:t>
      </w:r>
      <w:proofErr w:type="spellEnd"/>
      <w:r>
        <w:rPr>
          <w:sz w:val="24"/>
          <w:szCs w:val="24"/>
        </w:rPr>
        <w:t xml:space="preserve"> is a double entendre simultaneously reading as a single word (‘indignity’) and two separate words (‘in dignity’). These meanings capture precisely what the exhibition explored: experiences with oppression, discrimination, and prejudice, and simultaneously the pride and self-respect that we must have for ourselves and others facing injustice. </w:t>
      </w:r>
    </w:p>
    <w:p w14:paraId="5F7080EE" w14:textId="54F93CC6" w:rsidR="00D47991" w:rsidRDefault="00DF3F80">
      <w:pPr>
        <w:spacing w:after="160" w:line="480" w:lineRule="auto"/>
        <w:jc w:val="both"/>
        <w:rPr>
          <w:sz w:val="24"/>
          <w:szCs w:val="24"/>
        </w:rPr>
      </w:pPr>
      <w:r>
        <w:rPr>
          <w:sz w:val="24"/>
          <w:szCs w:val="24"/>
        </w:rPr>
        <w:t>Our goal was to amplify the ‘concealed stories’ in our community, those that are in plain sight but are</w:t>
      </w:r>
      <w:r w:rsidR="001C1E2F">
        <w:rPr>
          <w:sz w:val="24"/>
          <w:szCs w:val="24"/>
        </w:rPr>
        <w:t xml:space="preserve"> </w:t>
      </w:r>
      <w:commentRangeStart w:id="16"/>
      <w:commentRangeStart w:id="17"/>
      <w:r>
        <w:rPr>
          <w:sz w:val="24"/>
          <w:szCs w:val="24"/>
        </w:rPr>
        <w:t>unseen</w:t>
      </w:r>
      <w:commentRangeEnd w:id="16"/>
      <w:r w:rsidR="00163414">
        <w:rPr>
          <w:rStyle w:val="CommentReference"/>
        </w:rPr>
        <w:commentReference w:id="16"/>
      </w:r>
      <w:commentRangeEnd w:id="17"/>
      <w:r w:rsidR="001C1E2F">
        <w:rPr>
          <w:rStyle w:val="CommentReference"/>
        </w:rPr>
        <w:commentReference w:id="17"/>
      </w:r>
      <w:r>
        <w:rPr>
          <w:sz w:val="24"/>
          <w:szCs w:val="24"/>
        </w:rPr>
        <w:t xml:space="preserve"> or ignored (Bell 2010). These stories often feature individuals who </w:t>
      </w:r>
      <w:r w:rsidR="00163414">
        <w:rPr>
          <w:sz w:val="24"/>
          <w:szCs w:val="24"/>
        </w:rPr>
        <w:t xml:space="preserve">lack </w:t>
      </w:r>
      <w:r>
        <w:rPr>
          <w:sz w:val="24"/>
          <w:szCs w:val="24"/>
        </w:rPr>
        <w:t>the political clout</w:t>
      </w:r>
      <w:r w:rsidR="00C50E0A">
        <w:rPr>
          <w:sz w:val="24"/>
          <w:szCs w:val="24"/>
        </w:rPr>
        <w:t>, class status,</w:t>
      </w:r>
      <w:r>
        <w:rPr>
          <w:sz w:val="24"/>
          <w:szCs w:val="24"/>
        </w:rPr>
        <w:t xml:space="preserve"> or cultural capital to make their voices heard, or to ask to be heard, and whose experiences are deemed by mainstream society to be </w:t>
      </w:r>
      <w:r w:rsidR="00163414">
        <w:rPr>
          <w:sz w:val="24"/>
          <w:szCs w:val="24"/>
        </w:rPr>
        <w:t>un</w:t>
      </w:r>
      <w:r>
        <w:rPr>
          <w:sz w:val="24"/>
          <w:szCs w:val="24"/>
        </w:rPr>
        <w:t xml:space="preserve">worthy of interest or exposure (i.e. Paolo Freire’s ‘culture of silence’). The stories were </w:t>
      </w:r>
      <w:r w:rsidR="001C1E2F">
        <w:rPr>
          <w:sz w:val="24"/>
          <w:szCs w:val="24"/>
        </w:rPr>
        <w:t>deriv</w:t>
      </w:r>
      <w:r>
        <w:rPr>
          <w:sz w:val="24"/>
          <w:szCs w:val="24"/>
        </w:rPr>
        <w:t xml:space="preserve">ed </w:t>
      </w:r>
      <w:r w:rsidR="001C1E2F">
        <w:rPr>
          <w:sz w:val="24"/>
          <w:szCs w:val="24"/>
        </w:rPr>
        <w:t>from</w:t>
      </w:r>
      <w:r>
        <w:rPr>
          <w:sz w:val="24"/>
          <w:szCs w:val="24"/>
        </w:rPr>
        <w:t xml:space="preserve"> 42 interviews (43 individuals, </w:t>
      </w:r>
      <w:r>
        <w:rPr>
          <w:sz w:val="24"/>
          <w:szCs w:val="24"/>
        </w:rPr>
        <w:lastRenderedPageBreak/>
        <w:t>two of whom interviewed together) that we conducted with persons who live and work in our service area - S</w:t>
      </w:r>
      <w:r w:rsidR="00273116">
        <w:rPr>
          <w:sz w:val="24"/>
          <w:szCs w:val="24"/>
        </w:rPr>
        <w:t>an Bernardino and Riverside</w:t>
      </w:r>
      <w:r>
        <w:rPr>
          <w:sz w:val="24"/>
          <w:szCs w:val="24"/>
        </w:rPr>
        <w:t xml:space="preserve"> counties.</w:t>
      </w:r>
      <w:r>
        <w:rPr>
          <w:sz w:val="24"/>
          <w:szCs w:val="24"/>
          <w:vertAlign w:val="superscript"/>
        </w:rPr>
        <w:footnoteReference w:id="6"/>
      </w:r>
      <w:r>
        <w:rPr>
          <w:sz w:val="24"/>
          <w:szCs w:val="24"/>
        </w:rPr>
        <w:t xml:space="preserve"> This region is predominantly working class, and our university serves primarily first generation students. At the inception of </w:t>
      </w:r>
      <w:proofErr w:type="spellStart"/>
      <w:r>
        <w:rPr>
          <w:sz w:val="24"/>
          <w:szCs w:val="24"/>
        </w:rPr>
        <w:t>In|Dignity</w:t>
      </w:r>
      <w:proofErr w:type="spellEnd"/>
      <w:r>
        <w:rPr>
          <w:sz w:val="24"/>
          <w:szCs w:val="24"/>
        </w:rPr>
        <w:t xml:space="preserve">, our region was facing the one year anniversary of a mass shooting, and this inspired a strong desire for messages of hope, unity, and mutual understanding (Associated Press 2016). </w:t>
      </w:r>
    </w:p>
    <w:p w14:paraId="7A0F2604" w14:textId="1D1AE6CC" w:rsidR="00D47991" w:rsidRDefault="00DF3F80">
      <w:pPr>
        <w:spacing w:after="160" w:line="480" w:lineRule="auto"/>
        <w:jc w:val="both"/>
        <w:rPr>
          <w:sz w:val="24"/>
          <w:szCs w:val="24"/>
        </w:rPr>
      </w:pPr>
      <w:r>
        <w:rPr>
          <w:sz w:val="24"/>
          <w:szCs w:val="24"/>
        </w:rPr>
        <w:t xml:space="preserve">Of note, the stories presented through </w:t>
      </w:r>
      <w:proofErr w:type="spellStart"/>
      <w:r>
        <w:rPr>
          <w:i/>
          <w:sz w:val="24"/>
          <w:szCs w:val="24"/>
        </w:rPr>
        <w:t>In|Dignity</w:t>
      </w:r>
      <w:proofErr w:type="spellEnd"/>
      <w:r>
        <w:rPr>
          <w:sz w:val="24"/>
          <w:szCs w:val="24"/>
        </w:rPr>
        <w:t xml:space="preserve"> are </w:t>
      </w:r>
      <w:r w:rsidR="0080543E">
        <w:rPr>
          <w:sz w:val="24"/>
          <w:szCs w:val="24"/>
        </w:rPr>
        <w:t xml:space="preserve">a sampling from </w:t>
      </w:r>
      <w:r w:rsidR="0080543E" w:rsidRPr="0032302B">
        <w:rPr>
          <w:i/>
          <w:sz w:val="24"/>
          <w:szCs w:val="24"/>
        </w:rPr>
        <w:t>our</w:t>
      </w:r>
      <w:r w:rsidRPr="0032302B">
        <w:rPr>
          <w:i/>
          <w:sz w:val="24"/>
          <w:szCs w:val="24"/>
        </w:rPr>
        <w:t xml:space="preserve"> </w:t>
      </w:r>
      <w:r>
        <w:rPr>
          <w:sz w:val="24"/>
          <w:szCs w:val="24"/>
        </w:rPr>
        <w:t xml:space="preserve">community, not </w:t>
      </w:r>
      <w:r>
        <w:rPr>
          <w:i/>
          <w:sz w:val="24"/>
          <w:szCs w:val="24"/>
        </w:rPr>
        <w:t xml:space="preserve">a </w:t>
      </w:r>
      <w:r>
        <w:rPr>
          <w:sz w:val="24"/>
          <w:szCs w:val="24"/>
        </w:rPr>
        <w:t>community, a departure from many museum-community partnerships that focus on working with representatives of a single demographic</w:t>
      </w:r>
      <w:r w:rsidR="00273116">
        <w:rPr>
          <w:sz w:val="24"/>
          <w:szCs w:val="24"/>
        </w:rPr>
        <w:t xml:space="preserve"> or other predefined group</w:t>
      </w:r>
      <w:r>
        <w:rPr>
          <w:sz w:val="24"/>
          <w:szCs w:val="24"/>
        </w:rPr>
        <w:t xml:space="preserve">. </w:t>
      </w:r>
      <w:r w:rsidR="00163414">
        <w:rPr>
          <w:sz w:val="24"/>
          <w:szCs w:val="24"/>
        </w:rPr>
        <w:t>P</w:t>
      </w:r>
      <w:r>
        <w:rPr>
          <w:sz w:val="24"/>
          <w:szCs w:val="24"/>
        </w:rPr>
        <w:t xml:space="preserve">articipants were recruited through community events, Facebook messaging to local affinity </w:t>
      </w:r>
      <w:r w:rsidR="00E57E25">
        <w:rPr>
          <w:sz w:val="24"/>
          <w:szCs w:val="24"/>
        </w:rPr>
        <w:t>organizations</w:t>
      </w:r>
      <w:r>
        <w:rPr>
          <w:sz w:val="24"/>
          <w:szCs w:val="24"/>
        </w:rPr>
        <w:t>, student recommendations, and word of mouth</w:t>
      </w:r>
      <w:r w:rsidR="00E57E25">
        <w:rPr>
          <w:sz w:val="24"/>
          <w:szCs w:val="24"/>
        </w:rPr>
        <w:t>. Our</w:t>
      </w:r>
      <w:r w:rsidR="00C50E0A">
        <w:rPr>
          <w:sz w:val="24"/>
          <w:szCs w:val="24"/>
        </w:rPr>
        <w:t xml:space="preserve"> communications </w:t>
      </w:r>
      <w:r w:rsidR="00E57E25">
        <w:rPr>
          <w:sz w:val="24"/>
          <w:szCs w:val="24"/>
        </w:rPr>
        <w:t xml:space="preserve">simply asked for </w:t>
      </w:r>
      <w:r>
        <w:rPr>
          <w:sz w:val="24"/>
          <w:szCs w:val="24"/>
        </w:rPr>
        <w:t xml:space="preserve">individuals who identified as ‘marginalized’ and wanted to share their story. We invited </w:t>
      </w:r>
      <w:r>
        <w:rPr>
          <w:i/>
          <w:sz w:val="24"/>
          <w:szCs w:val="24"/>
        </w:rPr>
        <w:t xml:space="preserve">everyone </w:t>
      </w:r>
      <w:r>
        <w:rPr>
          <w:sz w:val="24"/>
          <w:szCs w:val="24"/>
        </w:rPr>
        <w:t xml:space="preserve">who contacted us to be interviewed, with the exception of one individual who was below the approved minimum age for participation. </w:t>
      </w:r>
    </w:p>
    <w:p w14:paraId="32325573" w14:textId="25DAB460" w:rsidR="00D47991" w:rsidRDefault="00DF3F80">
      <w:pPr>
        <w:spacing w:after="160" w:line="480" w:lineRule="auto"/>
        <w:jc w:val="both"/>
        <w:rPr>
          <w:sz w:val="24"/>
          <w:szCs w:val="24"/>
        </w:rPr>
      </w:pPr>
      <w:r>
        <w:rPr>
          <w:sz w:val="24"/>
          <w:szCs w:val="24"/>
        </w:rPr>
        <w:t>While we initially intended for student interns to lead our interviews, scheduling conflicts made this unfeasible. We briefly considered a method whereby community membe</w:t>
      </w:r>
      <w:r w:rsidR="00273116">
        <w:rPr>
          <w:sz w:val="24"/>
          <w:szCs w:val="24"/>
        </w:rPr>
        <w:t>rs would interview one another</w:t>
      </w:r>
      <w:r w:rsidR="00163414">
        <w:rPr>
          <w:sz w:val="24"/>
          <w:szCs w:val="24"/>
        </w:rPr>
        <w:t>,</w:t>
      </w:r>
      <w:r w:rsidR="00273116">
        <w:rPr>
          <w:sz w:val="24"/>
          <w:szCs w:val="24"/>
        </w:rPr>
        <w:t xml:space="preserve"> and</w:t>
      </w:r>
      <w:r>
        <w:rPr>
          <w:sz w:val="24"/>
          <w:szCs w:val="24"/>
        </w:rPr>
        <w:t xml:space="preserve"> several students </w:t>
      </w:r>
      <w:r>
        <w:rPr>
          <w:sz w:val="24"/>
          <w:szCs w:val="24"/>
        </w:rPr>
        <w:lastRenderedPageBreak/>
        <w:t xml:space="preserve">contributed to our project in this way. However, the university constrained our capacity to use this material unless all interviewers underwent human </w:t>
      </w:r>
      <w:proofErr w:type="gramStart"/>
      <w:r>
        <w:rPr>
          <w:sz w:val="24"/>
          <w:szCs w:val="24"/>
        </w:rPr>
        <w:t>subjects</w:t>
      </w:r>
      <w:proofErr w:type="gramEnd"/>
      <w:r>
        <w:rPr>
          <w:sz w:val="24"/>
          <w:szCs w:val="24"/>
        </w:rPr>
        <w:t xml:space="preserve"> protection training. Recognizing that this </w:t>
      </w:r>
      <w:r w:rsidR="00E57E25">
        <w:rPr>
          <w:sz w:val="24"/>
          <w:szCs w:val="24"/>
        </w:rPr>
        <w:t>could diminish</w:t>
      </w:r>
      <w:r>
        <w:rPr>
          <w:sz w:val="24"/>
          <w:szCs w:val="24"/>
        </w:rPr>
        <w:t xml:space="preserve"> participation and </w:t>
      </w:r>
      <w:r w:rsidR="00273116">
        <w:rPr>
          <w:sz w:val="24"/>
          <w:szCs w:val="24"/>
        </w:rPr>
        <w:t xml:space="preserve">would </w:t>
      </w:r>
      <w:r>
        <w:rPr>
          <w:sz w:val="24"/>
          <w:szCs w:val="24"/>
        </w:rPr>
        <w:t>extend our timeline beyond the grant period, we decided to conduct the interviews ourselves, wherever possible with participation of student interns.</w:t>
      </w:r>
      <w:r w:rsidR="00C50E0A">
        <w:rPr>
          <w:sz w:val="24"/>
          <w:szCs w:val="24"/>
        </w:rPr>
        <w:t xml:space="preserve"> </w:t>
      </w:r>
      <w:r w:rsidR="00E57E25">
        <w:rPr>
          <w:sz w:val="24"/>
          <w:szCs w:val="24"/>
        </w:rPr>
        <w:t>Our experience</w:t>
      </w:r>
      <w:r w:rsidR="00C50E0A">
        <w:rPr>
          <w:sz w:val="24"/>
          <w:szCs w:val="24"/>
        </w:rPr>
        <w:t xml:space="preserve"> serves as an example of the ways in which </w:t>
      </w:r>
      <w:r w:rsidR="001C1E2F">
        <w:rPr>
          <w:sz w:val="24"/>
          <w:szCs w:val="24"/>
        </w:rPr>
        <w:t xml:space="preserve">bureaucratic and </w:t>
      </w:r>
      <w:r w:rsidR="00C50E0A">
        <w:rPr>
          <w:sz w:val="24"/>
          <w:szCs w:val="24"/>
        </w:rPr>
        <w:t>structural barriers</w:t>
      </w:r>
      <w:r w:rsidR="001C1E2F">
        <w:rPr>
          <w:sz w:val="24"/>
          <w:szCs w:val="24"/>
        </w:rPr>
        <w:t xml:space="preserve"> </w:t>
      </w:r>
      <w:r w:rsidR="0080543E">
        <w:rPr>
          <w:sz w:val="24"/>
          <w:szCs w:val="24"/>
        </w:rPr>
        <w:t xml:space="preserve">can </w:t>
      </w:r>
      <w:r w:rsidR="00F5595B">
        <w:rPr>
          <w:sz w:val="24"/>
          <w:szCs w:val="24"/>
        </w:rPr>
        <w:t xml:space="preserve">confine the limits of </w:t>
      </w:r>
      <w:r w:rsidR="001C1E2F">
        <w:rPr>
          <w:sz w:val="24"/>
          <w:szCs w:val="24"/>
        </w:rPr>
        <w:t>participatory collaborations.</w:t>
      </w:r>
    </w:p>
    <w:p w14:paraId="5004E921" w14:textId="01B509E7" w:rsidR="00D47991" w:rsidRDefault="0080543E">
      <w:pPr>
        <w:spacing w:after="160" w:line="480" w:lineRule="auto"/>
        <w:jc w:val="both"/>
        <w:rPr>
          <w:sz w:val="24"/>
          <w:szCs w:val="24"/>
        </w:rPr>
      </w:pPr>
      <w:r>
        <w:rPr>
          <w:sz w:val="24"/>
          <w:szCs w:val="24"/>
        </w:rPr>
        <w:t xml:space="preserve">Our </w:t>
      </w:r>
      <w:r w:rsidR="00DF3F80">
        <w:rPr>
          <w:sz w:val="24"/>
          <w:szCs w:val="24"/>
        </w:rPr>
        <w:t xml:space="preserve">interviews were guided by, but not confined to, a list of eleven open-ended questions that we developed through student input and experimental interviewing in three courses. The semi-structured nature of our protocol allowed us to follow the direction of conversations as they unfolded, a technique Carolyn Ellis and Chris Patti (2014) call ‘compassionate interviewing.’ The method allowed each participant to speak their own, unbounded truth without the limitations of </w:t>
      </w:r>
      <w:r w:rsidR="00F5595B">
        <w:rPr>
          <w:sz w:val="24"/>
          <w:szCs w:val="24"/>
        </w:rPr>
        <w:t xml:space="preserve">data collected for </w:t>
      </w:r>
      <w:r w:rsidR="00DF3F80">
        <w:rPr>
          <w:sz w:val="24"/>
          <w:szCs w:val="24"/>
        </w:rPr>
        <w:t xml:space="preserve">quantitative or comparative analysis. This is one way we sought to embody social justice in practices that promote multiplicity, collaboration and redistribution of power. </w:t>
      </w:r>
    </w:p>
    <w:p w14:paraId="38275D4D" w14:textId="194990C7" w:rsidR="00857365" w:rsidRDefault="00E57E25">
      <w:pPr>
        <w:spacing w:after="160" w:line="480" w:lineRule="auto"/>
        <w:jc w:val="both"/>
        <w:rPr>
          <w:sz w:val="24"/>
          <w:szCs w:val="24"/>
        </w:rPr>
      </w:pPr>
      <w:r>
        <w:rPr>
          <w:sz w:val="24"/>
          <w:szCs w:val="24"/>
        </w:rPr>
        <w:t>Our exhibition development process</w:t>
      </w:r>
      <w:r w:rsidR="00DF3F80">
        <w:rPr>
          <w:sz w:val="24"/>
          <w:szCs w:val="24"/>
        </w:rPr>
        <w:t xml:space="preserve"> began </w:t>
      </w:r>
      <w:r w:rsidR="007A4C34">
        <w:rPr>
          <w:sz w:val="24"/>
          <w:szCs w:val="24"/>
        </w:rPr>
        <w:t>by</w:t>
      </w:r>
      <w:r w:rsidR="00DF3F80">
        <w:rPr>
          <w:sz w:val="24"/>
          <w:szCs w:val="24"/>
        </w:rPr>
        <w:t xml:space="preserve"> transcribing the 42 interviews, followed by open coding (a standard social science technique for narrative analysis) to form a list of major ideas and concepts for each interview. Three persons (the two authors, and one intern) coded each interview. The codes were then compiled and, over the course of three meetings, grouped to identify seven broad themes that became </w:t>
      </w:r>
      <w:r w:rsidR="00F5595B">
        <w:rPr>
          <w:sz w:val="24"/>
          <w:szCs w:val="24"/>
        </w:rPr>
        <w:t xml:space="preserve">our </w:t>
      </w:r>
      <w:r w:rsidR="00DF3F80">
        <w:rPr>
          <w:sz w:val="24"/>
          <w:szCs w:val="24"/>
        </w:rPr>
        <w:t xml:space="preserve">framework for the exhibition. We then distributed the 42 interviews among the themes. Consequently, the organization of the exhibition emerged directly from participants’ words and experiences, rather than </w:t>
      </w:r>
      <w:r w:rsidR="00DF3F80">
        <w:rPr>
          <w:sz w:val="24"/>
          <w:szCs w:val="24"/>
        </w:rPr>
        <w:lastRenderedPageBreak/>
        <w:t xml:space="preserve">a preconceived academic storyline onto which we overlaid and limited personal narratives. </w:t>
      </w:r>
    </w:p>
    <w:p w14:paraId="6F87567B" w14:textId="29B489AD" w:rsidR="00E57E25" w:rsidRDefault="00E57E25">
      <w:pPr>
        <w:spacing w:after="160" w:line="480" w:lineRule="auto"/>
        <w:jc w:val="both"/>
        <w:rPr>
          <w:sz w:val="24"/>
          <w:szCs w:val="24"/>
        </w:rPr>
      </w:pPr>
      <w:r>
        <w:rPr>
          <w:sz w:val="24"/>
          <w:szCs w:val="24"/>
        </w:rPr>
        <w:t>T</w:t>
      </w:r>
      <w:r w:rsidR="00937761">
        <w:rPr>
          <w:sz w:val="24"/>
          <w:szCs w:val="24"/>
        </w:rPr>
        <w:t>able</w:t>
      </w:r>
      <w:r>
        <w:rPr>
          <w:sz w:val="24"/>
          <w:szCs w:val="24"/>
        </w:rPr>
        <w:t xml:space="preserve"> 1</w:t>
      </w:r>
      <w:r w:rsidR="00402213">
        <w:rPr>
          <w:sz w:val="24"/>
          <w:szCs w:val="24"/>
        </w:rPr>
        <w:t xml:space="preserve">: </w:t>
      </w:r>
      <w:proofErr w:type="spellStart"/>
      <w:r w:rsidR="00402213" w:rsidRPr="00937761">
        <w:rPr>
          <w:i/>
          <w:sz w:val="24"/>
          <w:szCs w:val="24"/>
        </w:rPr>
        <w:t>In|Dignity</w:t>
      </w:r>
      <w:r w:rsidR="00402213">
        <w:rPr>
          <w:sz w:val="24"/>
          <w:szCs w:val="24"/>
        </w:rPr>
        <w:t>’s</w:t>
      </w:r>
      <w:proofErr w:type="spellEnd"/>
      <w:r w:rsidR="00402213">
        <w:rPr>
          <w:sz w:val="24"/>
          <w:szCs w:val="24"/>
        </w:rPr>
        <w:t xml:space="preserve"> Seven Themes</w:t>
      </w:r>
    </w:p>
    <w:tbl>
      <w:tblPr>
        <w:tblStyle w:val="TableGrid"/>
        <w:tblW w:w="0" w:type="auto"/>
        <w:tblLook w:val="04A0" w:firstRow="1" w:lastRow="0" w:firstColumn="1" w:lastColumn="0" w:noHBand="0" w:noVBand="1"/>
      </w:tblPr>
      <w:tblGrid>
        <w:gridCol w:w="8495"/>
      </w:tblGrid>
      <w:tr w:rsidR="00402213" w14:paraId="07EE15C2" w14:textId="77777777" w:rsidTr="00402213">
        <w:tc>
          <w:tcPr>
            <w:tcW w:w="8495" w:type="dxa"/>
          </w:tcPr>
          <w:p w14:paraId="5B56C3C2" w14:textId="35FD955D" w:rsidR="00402213" w:rsidRPr="00402213" w:rsidRDefault="00402213" w:rsidP="00402213">
            <w:pPr>
              <w:rPr>
                <w:rFonts w:ascii="Times New Roman" w:eastAsia="Times New Roman" w:hAnsi="Times New Roman" w:cs="Times New Roman"/>
                <w:sz w:val="24"/>
                <w:szCs w:val="24"/>
                <w:lang w:val="en-US"/>
              </w:rPr>
            </w:pPr>
            <w:r w:rsidRPr="00402213">
              <w:rPr>
                <w:rFonts w:ascii="Calibri" w:eastAsia="Times New Roman" w:hAnsi="Calibri" w:cs="Calibri"/>
                <w:b/>
                <w:bCs/>
                <w:color w:val="000000"/>
                <w:lang w:val="en-US"/>
              </w:rPr>
              <w:t>Petrified</w:t>
            </w:r>
            <w:r w:rsidRPr="00402213">
              <w:rPr>
                <w:rFonts w:ascii="Calibri" w:eastAsia="Times New Roman" w:hAnsi="Calibri" w:cs="Calibri"/>
                <w:color w:val="000000"/>
                <w:lang w:val="en-US"/>
              </w:rPr>
              <w:br/>
            </w:r>
            <w:r>
              <w:rPr>
                <w:rFonts w:ascii="Calibri" w:eastAsia="Times New Roman" w:hAnsi="Calibri" w:cs="Calibri"/>
                <w:i/>
                <w:iCs/>
                <w:color w:val="000000"/>
                <w:lang w:val="en-US"/>
              </w:rPr>
              <w:t>Personal</w:t>
            </w:r>
            <w:r w:rsidRPr="00402213">
              <w:rPr>
                <w:rFonts w:ascii="Calibri" w:eastAsia="Times New Roman" w:hAnsi="Calibri" w:cs="Calibri"/>
                <w:i/>
                <w:iCs/>
                <w:color w:val="000000"/>
                <w:lang w:val="en-US"/>
              </w:rPr>
              <w:t xml:space="preserve"> stories </w:t>
            </w:r>
            <w:r w:rsidR="0080543E">
              <w:rPr>
                <w:rFonts w:ascii="Calibri" w:eastAsia="Times New Roman" w:hAnsi="Calibri" w:cs="Calibri"/>
                <w:i/>
                <w:iCs/>
                <w:color w:val="000000"/>
                <w:lang w:val="en-US"/>
              </w:rPr>
              <w:t>from</w:t>
            </w:r>
            <w:r w:rsidRPr="00402213">
              <w:rPr>
                <w:rFonts w:ascii="Calibri" w:eastAsia="Times New Roman" w:hAnsi="Calibri" w:cs="Calibri"/>
                <w:i/>
                <w:iCs/>
                <w:color w:val="000000"/>
                <w:lang w:val="en-US"/>
              </w:rPr>
              <w:t xml:space="preserve"> individuals who our social upbringing often tell</w:t>
            </w:r>
            <w:r w:rsidR="00F5595B">
              <w:rPr>
                <w:rFonts w:ascii="Calibri" w:eastAsia="Times New Roman" w:hAnsi="Calibri" w:cs="Calibri"/>
                <w:i/>
                <w:iCs/>
                <w:color w:val="000000"/>
                <w:lang w:val="en-US"/>
              </w:rPr>
              <w:t>s</w:t>
            </w:r>
            <w:r w:rsidRPr="00402213">
              <w:rPr>
                <w:rFonts w:ascii="Calibri" w:eastAsia="Times New Roman" w:hAnsi="Calibri" w:cs="Calibri"/>
                <w:i/>
                <w:iCs/>
                <w:color w:val="000000"/>
                <w:lang w:val="en-US"/>
              </w:rPr>
              <w:t xml:space="preserve"> us to fear, to disparage, and to avoid.</w:t>
            </w:r>
            <w:r w:rsidRPr="00402213">
              <w:rPr>
                <w:rFonts w:ascii="Calibri" w:eastAsia="Times New Roman" w:hAnsi="Calibri" w:cs="Calibri"/>
                <w:color w:val="000000"/>
                <w:lang w:val="en-US"/>
              </w:rPr>
              <w:br/>
            </w:r>
            <w:r w:rsidRPr="00402213">
              <w:rPr>
                <w:rFonts w:ascii="Calibri" w:eastAsia="Times New Roman" w:hAnsi="Calibri" w:cs="Calibri"/>
                <w:color w:val="000000"/>
                <w:lang w:val="en-US"/>
              </w:rPr>
              <w:br/>
            </w:r>
            <w:r w:rsidRPr="00402213">
              <w:rPr>
                <w:rFonts w:ascii="Calibri" w:eastAsia="Times New Roman" w:hAnsi="Calibri" w:cs="Calibri"/>
                <w:b/>
                <w:bCs/>
                <w:color w:val="000000"/>
                <w:lang w:val="en-US"/>
              </w:rPr>
              <w:t>Embodied</w:t>
            </w:r>
            <w:r w:rsidRPr="00402213">
              <w:rPr>
                <w:rFonts w:ascii="Calibri" w:eastAsia="Times New Roman" w:hAnsi="Calibri" w:cs="Calibri"/>
                <w:color w:val="000000"/>
                <w:lang w:val="en-US"/>
              </w:rPr>
              <w:br/>
            </w:r>
            <w:r w:rsidR="0080543E">
              <w:rPr>
                <w:rFonts w:ascii="Calibri" w:eastAsia="Times New Roman" w:hAnsi="Calibri" w:cs="Calibri"/>
                <w:i/>
                <w:iCs/>
                <w:color w:val="000000"/>
                <w:lang w:val="en-US"/>
              </w:rPr>
              <w:t>O</w:t>
            </w:r>
            <w:r w:rsidRPr="00402213">
              <w:rPr>
                <w:rFonts w:ascii="Calibri" w:eastAsia="Times New Roman" w:hAnsi="Calibri" w:cs="Calibri"/>
                <w:i/>
                <w:iCs/>
                <w:color w:val="000000"/>
                <w:lang w:val="en-US"/>
              </w:rPr>
              <w:t>ur bodies can bind us and free us, and outward appearances can reveal and conceal what is inside of us.</w:t>
            </w:r>
            <w:r w:rsidRPr="00402213">
              <w:rPr>
                <w:rFonts w:ascii="Calibri" w:eastAsia="Times New Roman" w:hAnsi="Calibri" w:cs="Calibri"/>
                <w:color w:val="000000"/>
                <w:lang w:val="en-US"/>
              </w:rPr>
              <w:br/>
            </w:r>
            <w:r w:rsidRPr="00402213">
              <w:rPr>
                <w:rFonts w:ascii="Calibri" w:eastAsia="Times New Roman" w:hAnsi="Calibri" w:cs="Calibri"/>
                <w:color w:val="000000"/>
                <w:lang w:val="en-US"/>
              </w:rPr>
              <w:br/>
            </w:r>
            <w:r w:rsidR="0032302B">
              <w:rPr>
                <w:rFonts w:ascii="Calibri" w:eastAsia="Times New Roman" w:hAnsi="Calibri" w:cs="Calibri"/>
                <w:b/>
                <w:bCs/>
                <w:color w:val="000000"/>
                <w:lang w:val="en-US"/>
              </w:rPr>
              <w:t xml:space="preserve">Color </w:t>
            </w:r>
            <w:r w:rsidRPr="00402213">
              <w:rPr>
                <w:rFonts w:ascii="Calibri" w:eastAsia="Times New Roman" w:hAnsi="Calibri" w:cs="Calibri"/>
                <w:b/>
                <w:bCs/>
                <w:color w:val="000000"/>
                <w:lang w:val="en-US"/>
              </w:rPr>
              <w:t>Lines</w:t>
            </w:r>
            <w:r w:rsidRPr="00402213">
              <w:rPr>
                <w:rFonts w:ascii="Calibri" w:eastAsia="Times New Roman" w:hAnsi="Calibri" w:cs="Calibri"/>
                <w:color w:val="000000"/>
                <w:lang w:val="en-US"/>
              </w:rPr>
              <w:br/>
            </w:r>
            <w:r>
              <w:rPr>
                <w:rFonts w:ascii="Calibri" w:eastAsia="Times New Roman" w:hAnsi="Calibri" w:cs="Calibri"/>
                <w:i/>
                <w:iCs/>
                <w:color w:val="000000"/>
                <w:lang w:val="en-US"/>
              </w:rPr>
              <w:t>The</w:t>
            </w:r>
            <w:r w:rsidRPr="00402213">
              <w:rPr>
                <w:rFonts w:ascii="Calibri" w:eastAsia="Times New Roman" w:hAnsi="Calibri" w:cs="Calibri"/>
                <w:i/>
                <w:iCs/>
                <w:color w:val="000000"/>
                <w:lang w:val="en-US"/>
              </w:rPr>
              <w:t xml:space="preserve"> significance of color in </w:t>
            </w:r>
            <w:r>
              <w:rPr>
                <w:rFonts w:ascii="Calibri" w:eastAsia="Times New Roman" w:hAnsi="Calibri" w:cs="Calibri"/>
                <w:i/>
                <w:iCs/>
                <w:color w:val="000000"/>
                <w:lang w:val="en-US"/>
              </w:rPr>
              <w:t xml:space="preserve">our </w:t>
            </w:r>
            <w:r w:rsidRPr="00402213">
              <w:rPr>
                <w:rFonts w:ascii="Calibri" w:eastAsia="Times New Roman" w:hAnsi="Calibri" w:cs="Calibri"/>
                <w:i/>
                <w:iCs/>
                <w:color w:val="000000"/>
                <w:lang w:val="en-US"/>
              </w:rPr>
              <w:t>lives – including how color can be used to divide, to unite, and to celebrate humanity.</w:t>
            </w:r>
            <w:r w:rsidRPr="00402213">
              <w:rPr>
                <w:rFonts w:ascii="Calibri" w:eastAsia="Times New Roman" w:hAnsi="Calibri" w:cs="Calibri"/>
                <w:color w:val="000000"/>
                <w:lang w:val="en-US"/>
              </w:rPr>
              <w:br/>
            </w:r>
            <w:r w:rsidRPr="00402213">
              <w:rPr>
                <w:rFonts w:ascii="Calibri" w:eastAsia="Times New Roman" w:hAnsi="Calibri" w:cs="Calibri"/>
                <w:color w:val="000000"/>
                <w:lang w:val="en-US"/>
              </w:rPr>
              <w:br/>
            </w:r>
            <w:r w:rsidRPr="00402213">
              <w:rPr>
                <w:rFonts w:ascii="Calibri" w:eastAsia="Times New Roman" w:hAnsi="Calibri" w:cs="Calibri"/>
                <w:b/>
                <w:bCs/>
                <w:color w:val="000000"/>
                <w:lang w:val="en-US"/>
              </w:rPr>
              <w:t>Invisible</w:t>
            </w:r>
            <w:r w:rsidRPr="00402213">
              <w:rPr>
                <w:rFonts w:ascii="Calibri" w:eastAsia="Times New Roman" w:hAnsi="Calibri" w:cs="Calibri"/>
                <w:color w:val="000000"/>
                <w:lang w:val="en-US"/>
              </w:rPr>
              <w:br/>
            </w:r>
            <w:r w:rsidR="0080543E">
              <w:rPr>
                <w:rFonts w:ascii="Calibri" w:eastAsia="Times New Roman" w:hAnsi="Calibri" w:cs="Calibri"/>
                <w:i/>
                <w:iCs/>
                <w:color w:val="000000"/>
                <w:lang w:val="en-US"/>
              </w:rPr>
              <w:t>B</w:t>
            </w:r>
            <w:r w:rsidRPr="00402213">
              <w:rPr>
                <w:rFonts w:ascii="Calibri" w:eastAsia="Times New Roman" w:hAnsi="Calibri" w:cs="Calibri"/>
                <w:i/>
                <w:iCs/>
                <w:color w:val="000000"/>
                <w:lang w:val="en-US"/>
              </w:rPr>
              <w:t xml:space="preserve">eing ignored, hidden, or muted </w:t>
            </w:r>
            <w:r>
              <w:rPr>
                <w:rFonts w:ascii="Calibri" w:eastAsia="Times New Roman" w:hAnsi="Calibri" w:cs="Calibri"/>
                <w:i/>
                <w:iCs/>
                <w:color w:val="000000"/>
                <w:lang w:val="en-US"/>
              </w:rPr>
              <w:t>impacts</w:t>
            </w:r>
            <w:r w:rsidRPr="00402213">
              <w:rPr>
                <w:rFonts w:ascii="Calibri" w:eastAsia="Times New Roman" w:hAnsi="Calibri" w:cs="Calibri"/>
                <w:i/>
                <w:iCs/>
                <w:color w:val="000000"/>
                <w:lang w:val="en-US"/>
              </w:rPr>
              <w:t xml:space="preserve"> identities and lived experiences.</w:t>
            </w:r>
            <w:r>
              <w:rPr>
                <w:rFonts w:ascii="Calibri" w:eastAsia="Times New Roman" w:hAnsi="Calibri" w:cs="Calibri"/>
                <w:color w:val="000000"/>
                <w:lang w:val="en-US"/>
              </w:rPr>
              <w:br/>
            </w:r>
          </w:p>
          <w:p w14:paraId="2AA0BEAC" w14:textId="56ED41CF" w:rsidR="00402213" w:rsidRPr="00402213" w:rsidRDefault="00402213" w:rsidP="00402213">
            <w:pPr>
              <w:rPr>
                <w:rFonts w:ascii="Times New Roman" w:eastAsia="Times New Roman" w:hAnsi="Times New Roman" w:cs="Times New Roman"/>
                <w:sz w:val="24"/>
                <w:szCs w:val="24"/>
                <w:lang w:val="en-US"/>
              </w:rPr>
            </w:pPr>
            <w:r w:rsidRPr="00402213">
              <w:rPr>
                <w:rFonts w:ascii="Calibri" w:eastAsia="Times New Roman" w:hAnsi="Calibri" w:cs="Calibri"/>
                <w:b/>
                <w:bCs/>
                <w:color w:val="000000"/>
                <w:lang w:val="en-US"/>
              </w:rPr>
              <w:t>Stones May Rot</w:t>
            </w:r>
            <w:r w:rsidRPr="00402213">
              <w:rPr>
                <w:rFonts w:ascii="Calibri" w:eastAsia="Times New Roman" w:hAnsi="Calibri" w:cs="Calibri"/>
                <w:color w:val="000000"/>
                <w:lang w:val="en-US"/>
              </w:rPr>
              <w:br/>
            </w:r>
            <w:r w:rsidR="0080543E">
              <w:rPr>
                <w:rFonts w:ascii="Calibri" w:eastAsia="Times New Roman" w:hAnsi="Calibri" w:cs="Calibri"/>
                <w:i/>
                <w:iCs/>
                <w:color w:val="000000"/>
                <w:lang w:val="en-US"/>
              </w:rPr>
              <w:t>W</w:t>
            </w:r>
            <w:r>
              <w:rPr>
                <w:rFonts w:ascii="Calibri" w:eastAsia="Times New Roman" w:hAnsi="Calibri" w:cs="Calibri"/>
                <w:i/>
                <w:iCs/>
                <w:color w:val="000000"/>
                <w:lang w:val="en-US"/>
              </w:rPr>
              <w:t>ords impact self-perceptions and propel</w:t>
            </w:r>
            <w:r w:rsidRPr="00402213">
              <w:rPr>
                <w:rFonts w:ascii="Calibri" w:eastAsia="Times New Roman" w:hAnsi="Calibri" w:cs="Calibri"/>
                <w:i/>
                <w:iCs/>
                <w:color w:val="000000"/>
                <w:lang w:val="en-US"/>
              </w:rPr>
              <w:t xml:space="preserve"> life decisions, in the moment and over time.</w:t>
            </w:r>
            <w:r>
              <w:rPr>
                <w:rFonts w:ascii="Calibri" w:eastAsia="Times New Roman" w:hAnsi="Calibri" w:cs="Calibri"/>
                <w:color w:val="000000"/>
                <w:lang w:val="en-US"/>
              </w:rPr>
              <w:t xml:space="preserve"> </w:t>
            </w:r>
            <w:r>
              <w:rPr>
                <w:rFonts w:ascii="Calibri" w:eastAsia="Times New Roman" w:hAnsi="Calibri" w:cs="Calibri"/>
                <w:color w:val="000000"/>
                <w:lang w:val="en-US"/>
              </w:rPr>
              <w:br/>
            </w:r>
          </w:p>
          <w:p w14:paraId="74129514" w14:textId="1EB99568" w:rsidR="00402213" w:rsidRPr="00F5595B" w:rsidRDefault="00402213" w:rsidP="00F5595B">
            <w:pPr>
              <w:rPr>
                <w:rFonts w:ascii="Calibri" w:eastAsia="Times New Roman" w:hAnsi="Calibri" w:cs="Calibri"/>
                <w:i/>
                <w:iCs/>
                <w:color w:val="000000"/>
                <w:lang w:val="en-US"/>
              </w:rPr>
            </w:pPr>
            <w:r w:rsidRPr="00402213">
              <w:rPr>
                <w:rFonts w:ascii="Calibri" w:eastAsia="Times New Roman" w:hAnsi="Calibri" w:cs="Calibri"/>
                <w:b/>
                <w:bCs/>
                <w:color w:val="000000"/>
                <w:lang w:val="en-US"/>
              </w:rPr>
              <w:t>I Raise Up My Voice</w:t>
            </w:r>
            <w:r w:rsidRPr="00402213">
              <w:rPr>
                <w:rFonts w:ascii="Calibri" w:eastAsia="Times New Roman" w:hAnsi="Calibri" w:cs="Calibri"/>
                <w:color w:val="000000"/>
                <w:lang w:val="en-US"/>
              </w:rPr>
              <w:br/>
            </w:r>
            <w:r>
              <w:rPr>
                <w:rFonts w:ascii="Calibri" w:eastAsia="Times New Roman" w:hAnsi="Calibri" w:cs="Calibri"/>
                <w:i/>
                <w:iCs/>
                <w:color w:val="000000"/>
                <w:lang w:val="en-US"/>
              </w:rPr>
              <w:t>S</w:t>
            </w:r>
            <w:r w:rsidRPr="00402213">
              <w:rPr>
                <w:rFonts w:ascii="Calibri" w:eastAsia="Times New Roman" w:hAnsi="Calibri" w:cs="Calibri"/>
                <w:i/>
                <w:iCs/>
                <w:color w:val="000000"/>
                <w:lang w:val="en-US"/>
              </w:rPr>
              <w:t>ocietal expectation</w:t>
            </w:r>
            <w:r>
              <w:rPr>
                <w:rFonts w:ascii="Calibri" w:eastAsia="Times New Roman" w:hAnsi="Calibri" w:cs="Calibri"/>
                <w:i/>
                <w:iCs/>
                <w:color w:val="000000"/>
                <w:lang w:val="en-US"/>
              </w:rPr>
              <w:t>s</w:t>
            </w:r>
            <w:r w:rsidRPr="00402213">
              <w:rPr>
                <w:rFonts w:ascii="Calibri" w:eastAsia="Times New Roman" w:hAnsi="Calibri" w:cs="Calibri"/>
                <w:i/>
                <w:iCs/>
                <w:color w:val="000000"/>
                <w:lang w:val="en-US"/>
              </w:rPr>
              <w:t xml:space="preserve"> of women, and experiences breaking the mold and crafting opportunities for empowerment, self-definition, and advancement. </w:t>
            </w:r>
            <w:r w:rsidRPr="00402213">
              <w:rPr>
                <w:rFonts w:ascii="Calibri" w:eastAsia="Times New Roman" w:hAnsi="Calibri" w:cs="Calibri"/>
                <w:i/>
                <w:iCs/>
                <w:color w:val="000000"/>
                <w:lang w:val="en-US"/>
              </w:rPr>
              <w:br/>
            </w:r>
            <w:r w:rsidRPr="00402213">
              <w:rPr>
                <w:rFonts w:ascii="Calibri" w:eastAsia="Times New Roman" w:hAnsi="Calibri" w:cs="Calibri"/>
                <w:i/>
                <w:iCs/>
                <w:color w:val="000000"/>
                <w:lang w:val="en-US"/>
              </w:rPr>
              <w:br/>
            </w:r>
            <w:r w:rsidRPr="00402213">
              <w:rPr>
                <w:rFonts w:ascii="Calibri" w:eastAsia="Times New Roman" w:hAnsi="Calibri" w:cs="Calibri"/>
                <w:b/>
                <w:bCs/>
                <w:color w:val="000000"/>
                <w:lang w:val="en-US"/>
              </w:rPr>
              <w:t>Empowered</w:t>
            </w:r>
            <w:r w:rsidRPr="00402213">
              <w:rPr>
                <w:rFonts w:ascii="Calibri" w:eastAsia="Times New Roman" w:hAnsi="Calibri" w:cs="Calibri"/>
                <w:color w:val="000000"/>
                <w:lang w:val="en-US"/>
              </w:rPr>
              <w:br/>
            </w:r>
            <w:r>
              <w:rPr>
                <w:rFonts w:ascii="Calibri" w:eastAsia="Times New Roman" w:hAnsi="Calibri" w:cs="Calibri"/>
                <w:i/>
                <w:iCs/>
                <w:color w:val="000000"/>
                <w:lang w:val="en-US"/>
              </w:rPr>
              <w:t>E</w:t>
            </w:r>
            <w:r w:rsidRPr="00402213">
              <w:rPr>
                <w:rFonts w:ascii="Calibri" w:eastAsia="Times New Roman" w:hAnsi="Calibri" w:cs="Calibri"/>
                <w:i/>
                <w:iCs/>
                <w:color w:val="000000"/>
                <w:lang w:val="en-US"/>
              </w:rPr>
              <w:t xml:space="preserve">xperiences, wisdom, and </w:t>
            </w:r>
            <w:r>
              <w:rPr>
                <w:rFonts w:ascii="Calibri" w:eastAsia="Times New Roman" w:hAnsi="Calibri" w:cs="Calibri"/>
                <w:i/>
                <w:iCs/>
                <w:color w:val="000000"/>
                <w:lang w:val="en-US"/>
              </w:rPr>
              <w:t>requests for your support in the pursuit of social justice.</w:t>
            </w:r>
          </w:p>
        </w:tc>
      </w:tr>
    </w:tbl>
    <w:p w14:paraId="09F48F11" w14:textId="77777777" w:rsidR="00E57E25" w:rsidRDefault="00E57E25">
      <w:pPr>
        <w:spacing w:after="160" w:line="480" w:lineRule="auto"/>
        <w:jc w:val="both"/>
        <w:rPr>
          <w:sz w:val="24"/>
          <w:szCs w:val="24"/>
        </w:rPr>
      </w:pPr>
    </w:p>
    <w:p w14:paraId="602C609C" w14:textId="78D06D3E" w:rsidR="00D47991" w:rsidRPr="00F5595B" w:rsidRDefault="00DF3F80">
      <w:pPr>
        <w:spacing w:after="160" w:line="480" w:lineRule="auto"/>
        <w:jc w:val="both"/>
        <w:rPr>
          <w:sz w:val="24"/>
          <w:szCs w:val="24"/>
        </w:rPr>
      </w:pPr>
      <w:r>
        <w:rPr>
          <w:sz w:val="24"/>
          <w:szCs w:val="24"/>
        </w:rPr>
        <w:t>We did initially consider organizing the narr</w:t>
      </w:r>
      <w:r w:rsidR="00273116">
        <w:rPr>
          <w:sz w:val="24"/>
          <w:szCs w:val="24"/>
        </w:rPr>
        <w:t xml:space="preserve">atives using academic concepts </w:t>
      </w:r>
      <w:r>
        <w:rPr>
          <w:sz w:val="24"/>
          <w:szCs w:val="24"/>
        </w:rPr>
        <w:t xml:space="preserve">like intersectionality, </w:t>
      </w:r>
      <w:proofErr w:type="spellStart"/>
      <w:r>
        <w:rPr>
          <w:sz w:val="24"/>
          <w:szCs w:val="24"/>
        </w:rPr>
        <w:t>micr</w:t>
      </w:r>
      <w:r w:rsidR="00273116">
        <w:rPr>
          <w:sz w:val="24"/>
          <w:szCs w:val="24"/>
        </w:rPr>
        <w:t>oaggressions</w:t>
      </w:r>
      <w:proofErr w:type="spellEnd"/>
      <w:r w:rsidR="00273116">
        <w:rPr>
          <w:sz w:val="24"/>
          <w:szCs w:val="24"/>
        </w:rPr>
        <w:t>, and implicit bias</w:t>
      </w:r>
      <w:r>
        <w:rPr>
          <w:sz w:val="24"/>
          <w:szCs w:val="24"/>
        </w:rPr>
        <w:t xml:space="preserve">. However, we quickly recognized the risk this presented for privileging ‘expert knowledge’ over lived experience and potential limitations on participants speaking for themselves. As a museum on a university campus, we were also keenly aware that reliance on disciplinary jargon might impact perceptions of accessibility. As voiced by </w:t>
      </w:r>
      <w:proofErr w:type="spellStart"/>
      <w:r>
        <w:rPr>
          <w:sz w:val="24"/>
          <w:szCs w:val="24"/>
        </w:rPr>
        <w:t>Amer</w:t>
      </w:r>
      <w:proofErr w:type="spellEnd"/>
      <w:r>
        <w:rPr>
          <w:sz w:val="24"/>
          <w:szCs w:val="24"/>
        </w:rPr>
        <w:t xml:space="preserve"> F. Ahmed (2014), too often universities forget that a huge part of social justice </w:t>
      </w:r>
      <w:r>
        <w:rPr>
          <w:sz w:val="24"/>
          <w:szCs w:val="24"/>
        </w:rPr>
        <w:lastRenderedPageBreak/>
        <w:t>work is education, and using ‘big, inaccessible words</w:t>
      </w:r>
      <w:r w:rsidR="0022019B">
        <w:rPr>
          <w:sz w:val="24"/>
          <w:szCs w:val="24"/>
        </w:rPr>
        <w:t>’</w:t>
      </w:r>
      <w:r>
        <w:rPr>
          <w:sz w:val="24"/>
          <w:szCs w:val="24"/>
        </w:rPr>
        <w:t xml:space="preserve"> that the public doesn’t </w:t>
      </w:r>
      <w:r w:rsidRPr="00F5595B">
        <w:rPr>
          <w:sz w:val="24"/>
          <w:szCs w:val="24"/>
        </w:rPr>
        <w:t>understand can perpetuate elitism rather than work to dismantle it.</w:t>
      </w:r>
      <w:r w:rsidRPr="00F5595B">
        <w:rPr>
          <w:sz w:val="24"/>
          <w:szCs w:val="24"/>
          <w:vertAlign w:val="superscript"/>
        </w:rPr>
        <w:footnoteReference w:id="7"/>
      </w:r>
      <w:r w:rsidRPr="00F5595B">
        <w:rPr>
          <w:sz w:val="24"/>
          <w:szCs w:val="24"/>
        </w:rPr>
        <w:t xml:space="preserve"> </w:t>
      </w:r>
    </w:p>
    <w:p w14:paraId="21831831" w14:textId="0E04E8EE" w:rsidR="00D47991" w:rsidRDefault="00402213">
      <w:pPr>
        <w:spacing w:after="160" w:line="480" w:lineRule="auto"/>
        <w:jc w:val="both"/>
        <w:rPr>
          <w:sz w:val="24"/>
          <w:szCs w:val="24"/>
        </w:rPr>
      </w:pPr>
      <w:r w:rsidRPr="00F5595B">
        <w:rPr>
          <w:sz w:val="24"/>
          <w:szCs w:val="24"/>
        </w:rPr>
        <w:t>To craft</w:t>
      </w:r>
      <w:r w:rsidR="00857365" w:rsidRPr="00F5595B">
        <w:rPr>
          <w:sz w:val="24"/>
          <w:szCs w:val="24"/>
        </w:rPr>
        <w:t xml:space="preserve"> the exhibition</w:t>
      </w:r>
      <w:r w:rsidR="00B91916" w:rsidRPr="00F5595B">
        <w:rPr>
          <w:sz w:val="24"/>
          <w:szCs w:val="24"/>
        </w:rPr>
        <w:t xml:space="preserve">, </w:t>
      </w:r>
      <w:r w:rsidR="001C1E2F" w:rsidRPr="00F5595B">
        <w:rPr>
          <w:sz w:val="24"/>
          <w:szCs w:val="24"/>
        </w:rPr>
        <w:t>w</w:t>
      </w:r>
      <w:r w:rsidR="00DF3F80" w:rsidRPr="00F5595B">
        <w:rPr>
          <w:sz w:val="24"/>
          <w:szCs w:val="24"/>
        </w:rPr>
        <w:t xml:space="preserve">e </w:t>
      </w:r>
      <w:r w:rsidR="00B91916" w:rsidRPr="00F5595B">
        <w:rPr>
          <w:sz w:val="24"/>
          <w:szCs w:val="24"/>
        </w:rPr>
        <w:t>adapted each interview into an 800-word narrative</w:t>
      </w:r>
      <w:r w:rsidRPr="00F5595B">
        <w:rPr>
          <w:sz w:val="24"/>
          <w:szCs w:val="24"/>
        </w:rPr>
        <w:t xml:space="preserve">, composed </w:t>
      </w:r>
      <w:r w:rsidR="00B91916" w:rsidRPr="00F5595B">
        <w:rPr>
          <w:sz w:val="24"/>
          <w:szCs w:val="24"/>
        </w:rPr>
        <w:t>using the participant’s own</w:t>
      </w:r>
      <w:r w:rsidR="00857365" w:rsidRPr="00F5595B">
        <w:rPr>
          <w:sz w:val="24"/>
          <w:szCs w:val="24"/>
        </w:rPr>
        <w:t xml:space="preserve"> words</w:t>
      </w:r>
      <w:r w:rsidR="00DF3F80" w:rsidRPr="00F5595B">
        <w:rPr>
          <w:sz w:val="24"/>
          <w:szCs w:val="24"/>
        </w:rPr>
        <w:t xml:space="preserve">. </w:t>
      </w:r>
      <w:r w:rsidR="001C1E2F" w:rsidRPr="00F5595B">
        <w:rPr>
          <w:sz w:val="24"/>
          <w:szCs w:val="24"/>
        </w:rPr>
        <w:t>This was inherently challenging, as what makes the human voice so powerful is that it is spontaneous and emotional, qualities which are easily lost when hours of recordings are condensed for clarity and length (Lowry and Duke 2015).</w:t>
      </w:r>
      <w:r w:rsidR="00B91916" w:rsidRPr="00F5595B">
        <w:rPr>
          <w:sz w:val="24"/>
          <w:szCs w:val="24"/>
        </w:rPr>
        <w:t xml:space="preserve"> </w:t>
      </w:r>
      <w:r w:rsidR="00DF3F80" w:rsidRPr="00F5595B">
        <w:rPr>
          <w:sz w:val="24"/>
          <w:szCs w:val="24"/>
        </w:rPr>
        <w:t>When selecting direct quot</w:t>
      </w:r>
      <w:r w:rsidR="007A4C34" w:rsidRPr="00F5595B">
        <w:rPr>
          <w:sz w:val="24"/>
          <w:szCs w:val="24"/>
        </w:rPr>
        <w:t>ation</w:t>
      </w:r>
      <w:r w:rsidR="00DF3F80" w:rsidRPr="00F5595B">
        <w:rPr>
          <w:sz w:val="24"/>
          <w:szCs w:val="24"/>
        </w:rPr>
        <w:t xml:space="preserve">s we worked to stay true to the tenor of each participant’s interview, a point raised by Anna Green (2007) as essential to editing oral history for presentation purposes. </w:t>
      </w:r>
      <w:r w:rsidR="007A4C34" w:rsidRPr="00F5595B">
        <w:rPr>
          <w:sz w:val="24"/>
          <w:szCs w:val="24"/>
        </w:rPr>
        <w:t>W</w:t>
      </w:r>
      <w:r w:rsidR="00857365" w:rsidRPr="00F5595B">
        <w:rPr>
          <w:sz w:val="24"/>
          <w:szCs w:val="24"/>
        </w:rPr>
        <w:t>e</w:t>
      </w:r>
      <w:r w:rsidR="00DF3F80" w:rsidRPr="00F5595B">
        <w:rPr>
          <w:sz w:val="24"/>
          <w:szCs w:val="24"/>
        </w:rPr>
        <w:t xml:space="preserve"> also shaped each narrative into a story arc (roughly: hook, source of marginalization, conflict or climax, and resolution)</w:t>
      </w:r>
      <w:r w:rsidR="00857365" w:rsidRPr="00F5595B">
        <w:rPr>
          <w:sz w:val="24"/>
          <w:szCs w:val="24"/>
        </w:rPr>
        <w:t xml:space="preserve">. </w:t>
      </w:r>
      <w:r w:rsidR="007A4C34" w:rsidRPr="00F5595B">
        <w:rPr>
          <w:sz w:val="24"/>
          <w:szCs w:val="24"/>
        </w:rPr>
        <w:t>T</w:t>
      </w:r>
      <w:r w:rsidR="00DF3F80" w:rsidRPr="00F5595B">
        <w:rPr>
          <w:sz w:val="24"/>
          <w:szCs w:val="24"/>
        </w:rPr>
        <w:t xml:space="preserve">his method reinforced in some ways, rather than challenged, problematic ideas about knowledge. However, </w:t>
      </w:r>
      <w:r w:rsidRPr="00F5595B">
        <w:rPr>
          <w:sz w:val="24"/>
          <w:szCs w:val="24"/>
        </w:rPr>
        <w:t>we</w:t>
      </w:r>
      <w:r w:rsidR="00DF3F80" w:rsidRPr="00F5595B">
        <w:rPr>
          <w:sz w:val="24"/>
          <w:szCs w:val="24"/>
        </w:rPr>
        <w:t xml:space="preserve"> strongly felt that crafting narratives using mainstream storytelling conventions would</w:t>
      </w:r>
      <w:r w:rsidR="00F5595B">
        <w:rPr>
          <w:sz w:val="24"/>
          <w:szCs w:val="24"/>
        </w:rPr>
        <w:t xml:space="preserve"> make</w:t>
      </w:r>
      <w:r w:rsidR="00F5595B" w:rsidRPr="00F5595B">
        <w:rPr>
          <w:sz w:val="24"/>
          <w:szCs w:val="24"/>
        </w:rPr>
        <w:t xml:space="preserve"> </w:t>
      </w:r>
      <w:r w:rsidR="00DF3F80" w:rsidRPr="00F5595B">
        <w:rPr>
          <w:sz w:val="24"/>
          <w:szCs w:val="24"/>
        </w:rPr>
        <w:t>the</w:t>
      </w:r>
      <w:r w:rsidR="007A4C34" w:rsidRPr="00F5595B">
        <w:rPr>
          <w:sz w:val="24"/>
          <w:szCs w:val="24"/>
        </w:rPr>
        <w:t xml:space="preserve"> narratives</w:t>
      </w:r>
      <w:r w:rsidR="00DF3F80" w:rsidRPr="00F5595B">
        <w:rPr>
          <w:sz w:val="24"/>
          <w:szCs w:val="24"/>
        </w:rPr>
        <w:t xml:space="preserve"> accessible</w:t>
      </w:r>
      <w:r w:rsidR="00F5595B">
        <w:rPr>
          <w:sz w:val="24"/>
          <w:szCs w:val="24"/>
        </w:rPr>
        <w:t xml:space="preserve"> and relatable and mark the information as worthwhile to consider</w:t>
      </w:r>
      <w:r w:rsidR="00DF3F80" w:rsidRPr="00F5595B">
        <w:rPr>
          <w:sz w:val="24"/>
          <w:szCs w:val="24"/>
        </w:rPr>
        <w:t xml:space="preserve"> </w:t>
      </w:r>
      <w:r w:rsidR="00F5595B">
        <w:rPr>
          <w:sz w:val="24"/>
          <w:szCs w:val="24"/>
        </w:rPr>
        <w:t>for</w:t>
      </w:r>
      <w:r w:rsidR="00DF3F80" w:rsidRPr="00F5595B">
        <w:rPr>
          <w:sz w:val="24"/>
          <w:szCs w:val="24"/>
        </w:rPr>
        <w:t xml:space="preserve"> the broadest possible audience.</w:t>
      </w:r>
      <w:r w:rsidR="00DF3F80">
        <w:rPr>
          <w:sz w:val="24"/>
          <w:szCs w:val="24"/>
        </w:rPr>
        <w:t xml:space="preserve">  </w:t>
      </w:r>
    </w:p>
    <w:p w14:paraId="3D43C945" w14:textId="19C377C5" w:rsidR="00D47991" w:rsidRDefault="00DF3F80">
      <w:pPr>
        <w:spacing w:after="160" w:line="480" w:lineRule="auto"/>
        <w:jc w:val="both"/>
        <w:rPr>
          <w:sz w:val="24"/>
          <w:szCs w:val="24"/>
        </w:rPr>
      </w:pPr>
      <w:r>
        <w:rPr>
          <w:sz w:val="24"/>
          <w:szCs w:val="24"/>
        </w:rPr>
        <w:t xml:space="preserve">One of us drafted each narrative, and the other </w:t>
      </w:r>
      <w:r w:rsidR="0032302B">
        <w:rPr>
          <w:sz w:val="24"/>
          <w:szCs w:val="24"/>
        </w:rPr>
        <w:t>compared it point-by-point to the full interview to</w:t>
      </w:r>
      <w:r>
        <w:rPr>
          <w:sz w:val="24"/>
          <w:szCs w:val="24"/>
        </w:rPr>
        <w:t xml:space="preserve"> ensure full representation of the </w:t>
      </w:r>
      <w:r w:rsidR="00402213">
        <w:rPr>
          <w:sz w:val="24"/>
          <w:szCs w:val="24"/>
        </w:rPr>
        <w:t xml:space="preserve">participant’s </w:t>
      </w:r>
      <w:r w:rsidR="0032302B">
        <w:rPr>
          <w:sz w:val="24"/>
          <w:szCs w:val="24"/>
        </w:rPr>
        <w:t>shared wisdom and experiences</w:t>
      </w:r>
      <w:r>
        <w:rPr>
          <w:sz w:val="24"/>
          <w:szCs w:val="24"/>
        </w:rPr>
        <w:t xml:space="preserve">. After adjustments to address discrepancies, we sent each </w:t>
      </w:r>
      <w:r>
        <w:rPr>
          <w:sz w:val="24"/>
          <w:szCs w:val="24"/>
        </w:rPr>
        <w:lastRenderedPageBreak/>
        <w:t xml:space="preserve">participant their narrative for review, </w:t>
      </w:r>
      <w:r w:rsidR="00601F2D">
        <w:rPr>
          <w:sz w:val="24"/>
          <w:szCs w:val="24"/>
        </w:rPr>
        <w:t xml:space="preserve">emphasizing </w:t>
      </w:r>
      <w:r>
        <w:rPr>
          <w:sz w:val="24"/>
          <w:szCs w:val="24"/>
        </w:rPr>
        <w:t>that they held final editing rights. Most participants did not request changes, instead writing, for example, ‘Thank you for hearing me’ and another ‘I got emotional reading it.’ While this positive feedback was gratifying, we were also pleased that six participants requested substantive changes to their narrative</w:t>
      </w:r>
      <w:r w:rsidR="007A4C34">
        <w:rPr>
          <w:sz w:val="24"/>
          <w:szCs w:val="24"/>
        </w:rPr>
        <w:t>s</w:t>
      </w:r>
      <w:r>
        <w:rPr>
          <w:sz w:val="24"/>
          <w:szCs w:val="24"/>
        </w:rPr>
        <w:t>, with three more requesting minor changes. These assertion</w:t>
      </w:r>
      <w:r w:rsidR="00402213">
        <w:rPr>
          <w:sz w:val="24"/>
          <w:szCs w:val="24"/>
        </w:rPr>
        <w:t>s</w:t>
      </w:r>
      <w:r w:rsidR="00F5595B">
        <w:rPr>
          <w:sz w:val="24"/>
          <w:szCs w:val="24"/>
        </w:rPr>
        <w:t xml:space="preserve"> </w:t>
      </w:r>
      <w:r>
        <w:rPr>
          <w:sz w:val="24"/>
          <w:szCs w:val="24"/>
        </w:rPr>
        <w:t>of rights to authorship reassur</w:t>
      </w:r>
      <w:r w:rsidR="00601F2D">
        <w:rPr>
          <w:sz w:val="24"/>
          <w:szCs w:val="24"/>
        </w:rPr>
        <w:t xml:space="preserve">ed us </w:t>
      </w:r>
      <w:r>
        <w:rPr>
          <w:sz w:val="24"/>
          <w:szCs w:val="24"/>
        </w:rPr>
        <w:t>that we had br</w:t>
      </w:r>
      <w:r w:rsidR="00606DD8">
        <w:rPr>
          <w:sz w:val="24"/>
          <w:szCs w:val="24"/>
        </w:rPr>
        <w:t>o</w:t>
      </w:r>
      <w:r>
        <w:rPr>
          <w:sz w:val="24"/>
          <w:szCs w:val="24"/>
        </w:rPr>
        <w:t>k</w:t>
      </w:r>
      <w:r w:rsidR="007A4C34">
        <w:rPr>
          <w:sz w:val="24"/>
          <w:szCs w:val="24"/>
        </w:rPr>
        <w:t>en</w:t>
      </w:r>
      <w:r>
        <w:rPr>
          <w:sz w:val="24"/>
          <w:szCs w:val="24"/>
        </w:rPr>
        <w:t xml:space="preserve"> down </w:t>
      </w:r>
      <w:r w:rsidR="007A4C34">
        <w:rPr>
          <w:sz w:val="24"/>
          <w:szCs w:val="24"/>
        </w:rPr>
        <w:t xml:space="preserve">at least some of the </w:t>
      </w:r>
      <w:r>
        <w:rPr>
          <w:sz w:val="24"/>
          <w:szCs w:val="24"/>
        </w:rPr>
        <w:t xml:space="preserve">power hierarchies that can hamper community collaborations. We worked with each participant until they were satisfied with the </w:t>
      </w:r>
      <w:r w:rsidR="007A4C34">
        <w:rPr>
          <w:sz w:val="24"/>
          <w:szCs w:val="24"/>
        </w:rPr>
        <w:t>final narrative</w:t>
      </w:r>
      <w:r>
        <w:rPr>
          <w:sz w:val="24"/>
          <w:szCs w:val="24"/>
        </w:rPr>
        <w:t xml:space="preserve">. </w:t>
      </w:r>
      <w:r w:rsidR="007A4C34">
        <w:rPr>
          <w:sz w:val="24"/>
          <w:szCs w:val="24"/>
        </w:rPr>
        <w:t>To</w:t>
      </w:r>
      <w:r>
        <w:rPr>
          <w:sz w:val="24"/>
          <w:szCs w:val="24"/>
        </w:rPr>
        <w:t xml:space="preserve"> further guarantee </w:t>
      </w:r>
      <w:commentRangeStart w:id="18"/>
      <w:commentRangeStart w:id="19"/>
      <w:r>
        <w:rPr>
          <w:sz w:val="24"/>
          <w:szCs w:val="24"/>
        </w:rPr>
        <w:t>accountability</w:t>
      </w:r>
      <w:commentRangeEnd w:id="18"/>
      <w:r w:rsidR="007A4C34">
        <w:rPr>
          <w:rStyle w:val="CommentReference"/>
        </w:rPr>
        <w:commentReference w:id="18"/>
      </w:r>
      <w:commentRangeEnd w:id="19"/>
      <w:r w:rsidR="00A67D71">
        <w:rPr>
          <w:rStyle w:val="CommentReference"/>
        </w:rPr>
        <w:commentReference w:id="19"/>
      </w:r>
      <w:r>
        <w:rPr>
          <w:sz w:val="24"/>
          <w:szCs w:val="24"/>
        </w:rPr>
        <w:t>, participants retain their right to withdraw their contributions from the project in its online and traveling form up through the present.</w:t>
      </w:r>
    </w:p>
    <w:p w14:paraId="6C8D421E" w14:textId="441D9AE2" w:rsidR="00273116" w:rsidRDefault="00273116" w:rsidP="00273116">
      <w:pPr>
        <w:spacing w:after="160" w:line="480" w:lineRule="auto"/>
        <w:jc w:val="both"/>
        <w:rPr>
          <w:sz w:val="24"/>
          <w:szCs w:val="24"/>
        </w:rPr>
      </w:pPr>
      <w:r>
        <w:rPr>
          <w:sz w:val="24"/>
          <w:szCs w:val="24"/>
        </w:rPr>
        <w:t xml:space="preserve">Each of the 42 narratives </w:t>
      </w:r>
      <w:commentRangeStart w:id="20"/>
      <w:commentRangeStart w:id="21"/>
      <w:r>
        <w:rPr>
          <w:sz w:val="24"/>
          <w:szCs w:val="24"/>
        </w:rPr>
        <w:t>st</w:t>
      </w:r>
      <w:r w:rsidR="00B91916">
        <w:rPr>
          <w:sz w:val="24"/>
          <w:szCs w:val="24"/>
        </w:rPr>
        <w:t>an</w:t>
      </w:r>
      <w:r>
        <w:rPr>
          <w:sz w:val="24"/>
          <w:szCs w:val="24"/>
        </w:rPr>
        <w:t>d</w:t>
      </w:r>
      <w:commentRangeEnd w:id="20"/>
      <w:r w:rsidR="00B91916">
        <w:rPr>
          <w:sz w:val="24"/>
          <w:szCs w:val="24"/>
        </w:rPr>
        <w:t>s</w:t>
      </w:r>
      <w:r w:rsidR="007A4C34">
        <w:rPr>
          <w:rStyle w:val="CommentReference"/>
        </w:rPr>
        <w:commentReference w:id="20"/>
      </w:r>
      <w:r>
        <w:rPr>
          <w:sz w:val="24"/>
          <w:szCs w:val="24"/>
        </w:rPr>
        <w:t xml:space="preserve"> as an independent testimonial. At the same time, the multiplicity of distinct stories converging on a unifying theme reinforced </w:t>
      </w:r>
      <w:commentRangeEnd w:id="21"/>
      <w:r w:rsidR="00A67D71">
        <w:rPr>
          <w:rStyle w:val="CommentReference"/>
        </w:rPr>
        <w:commentReference w:id="21"/>
      </w:r>
      <w:r>
        <w:rPr>
          <w:sz w:val="24"/>
          <w:szCs w:val="24"/>
        </w:rPr>
        <w:t xml:space="preserve">the </w:t>
      </w:r>
      <w:r w:rsidR="00B91916">
        <w:rPr>
          <w:sz w:val="24"/>
          <w:szCs w:val="24"/>
        </w:rPr>
        <w:t>commonalities</w:t>
      </w:r>
      <w:r>
        <w:rPr>
          <w:sz w:val="24"/>
          <w:szCs w:val="24"/>
        </w:rPr>
        <w:t xml:space="preserve"> of the narratives and subtly illuminated the systemic nature of the challenges depicted.</w:t>
      </w:r>
      <w:r w:rsidR="00507910" w:rsidRPr="00507910">
        <w:rPr>
          <w:sz w:val="24"/>
          <w:szCs w:val="24"/>
        </w:rPr>
        <w:t xml:space="preserve"> </w:t>
      </w:r>
      <w:r w:rsidR="00507910" w:rsidRPr="003348AA">
        <w:rPr>
          <w:sz w:val="24"/>
          <w:szCs w:val="24"/>
        </w:rPr>
        <w:t xml:space="preserve">For example, </w:t>
      </w:r>
      <w:r w:rsidR="00507910">
        <w:rPr>
          <w:sz w:val="24"/>
          <w:szCs w:val="24"/>
        </w:rPr>
        <w:t>‘</w:t>
      </w:r>
      <w:r w:rsidR="00507910" w:rsidRPr="003348AA">
        <w:rPr>
          <w:sz w:val="24"/>
          <w:szCs w:val="24"/>
        </w:rPr>
        <w:t>Stones May Rot</w:t>
      </w:r>
      <w:r w:rsidR="00507910">
        <w:rPr>
          <w:sz w:val="24"/>
          <w:szCs w:val="24"/>
        </w:rPr>
        <w:t>’</w:t>
      </w:r>
      <w:r w:rsidR="00507910" w:rsidRPr="003348AA">
        <w:rPr>
          <w:sz w:val="24"/>
          <w:szCs w:val="24"/>
        </w:rPr>
        <w:t xml:space="preserve"> (a </w:t>
      </w:r>
      <w:r w:rsidR="00507910">
        <w:rPr>
          <w:sz w:val="24"/>
          <w:szCs w:val="24"/>
        </w:rPr>
        <w:t xml:space="preserve">theme </w:t>
      </w:r>
      <w:r w:rsidR="00507910" w:rsidRPr="003348AA">
        <w:rPr>
          <w:sz w:val="24"/>
          <w:szCs w:val="24"/>
        </w:rPr>
        <w:t xml:space="preserve">title based on the Samoan proverb </w:t>
      </w:r>
      <w:r w:rsidR="00507910">
        <w:rPr>
          <w:sz w:val="24"/>
          <w:szCs w:val="24"/>
        </w:rPr>
        <w:t>‘</w:t>
      </w:r>
      <w:r w:rsidR="00507910" w:rsidRPr="003348AA">
        <w:rPr>
          <w:sz w:val="24"/>
          <w:szCs w:val="24"/>
        </w:rPr>
        <w:t>Stones may rot but words do not</w:t>
      </w:r>
      <w:r w:rsidR="00507910">
        <w:rPr>
          <w:sz w:val="24"/>
          <w:szCs w:val="24"/>
        </w:rPr>
        <w:t>’</w:t>
      </w:r>
      <w:r w:rsidR="00507910" w:rsidRPr="003348AA">
        <w:rPr>
          <w:sz w:val="24"/>
          <w:szCs w:val="24"/>
        </w:rPr>
        <w:t xml:space="preserve">) grouped together narratives that spoke to the ways in which </w:t>
      </w:r>
      <w:r w:rsidR="00507910">
        <w:rPr>
          <w:sz w:val="24"/>
          <w:szCs w:val="24"/>
        </w:rPr>
        <w:t xml:space="preserve">others’ </w:t>
      </w:r>
      <w:r w:rsidR="00507910" w:rsidRPr="003348AA">
        <w:rPr>
          <w:sz w:val="24"/>
          <w:szCs w:val="24"/>
        </w:rPr>
        <w:t>words impact self-perceptions and propel life decisions. The section feature</w:t>
      </w:r>
      <w:r w:rsidR="00A67D71">
        <w:rPr>
          <w:sz w:val="24"/>
          <w:szCs w:val="24"/>
        </w:rPr>
        <w:t>d</w:t>
      </w:r>
      <w:r w:rsidR="00507910" w:rsidRPr="003348AA">
        <w:rPr>
          <w:sz w:val="24"/>
          <w:szCs w:val="24"/>
        </w:rPr>
        <w:t xml:space="preserve"> stories highlighting </w:t>
      </w:r>
      <w:r>
        <w:rPr>
          <w:sz w:val="24"/>
          <w:szCs w:val="24"/>
        </w:rPr>
        <w:t>experiences with obesity, the model minority myth, teen pregnancy, racism, English as a second language, and bipolar disorder. But the narratives also converged on</w:t>
      </w:r>
      <w:r w:rsidR="007A4C34">
        <w:rPr>
          <w:sz w:val="24"/>
          <w:szCs w:val="24"/>
        </w:rPr>
        <w:t xml:space="preserve"> the following issues:</w:t>
      </w:r>
      <w:r>
        <w:rPr>
          <w:sz w:val="24"/>
          <w:szCs w:val="24"/>
        </w:rPr>
        <w:t xml:space="preserve"> educational systems failing to provide for non-traditional students, those in positions of power </w:t>
      </w:r>
      <w:r w:rsidR="00507910">
        <w:rPr>
          <w:sz w:val="24"/>
          <w:szCs w:val="24"/>
        </w:rPr>
        <w:t>diminishing</w:t>
      </w:r>
      <w:r>
        <w:rPr>
          <w:sz w:val="24"/>
          <w:szCs w:val="24"/>
        </w:rPr>
        <w:t xml:space="preserve"> self-esteem of </w:t>
      </w:r>
      <w:r w:rsidR="00A67D71">
        <w:rPr>
          <w:sz w:val="24"/>
          <w:szCs w:val="24"/>
        </w:rPr>
        <w:t xml:space="preserve">the </w:t>
      </w:r>
      <w:r>
        <w:rPr>
          <w:sz w:val="24"/>
          <w:szCs w:val="24"/>
        </w:rPr>
        <w:t>marginalized</w:t>
      </w:r>
      <w:r w:rsidR="007A4C34">
        <w:rPr>
          <w:sz w:val="24"/>
          <w:szCs w:val="24"/>
        </w:rPr>
        <w:t>,</w:t>
      </w:r>
      <w:r>
        <w:rPr>
          <w:sz w:val="24"/>
          <w:szCs w:val="24"/>
        </w:rPr>
        <w:t xml:space="preserve"> and biases that pe</w:t>
      </w:r>
      <w:r w:rsidR="00507910">
        <w:rPr>
          <w:sz w:val="24"/>
          <w:szCs w:val="24"/>
        </w:rPr>
        <w:t>rpetuate</w:t>
      </w:r>
      <w:r>
        <w:rPr>
          <w:sz w:val="24"/>
          <w:szCs w:val="24"/>
        </w:rPr>
        <w:t xml:space="preserve"> inequitable biomedical care. </w:t>
      </w:r>
    </w:p>
    <w:p w14:paraId="022E61E1" w14:textId="77777777" w:rsidR="00273116" w:rsidRDefault="00273116" w:rsidP="00273116">
      <w:pPr>
        <w:spacing w:after="160" w:line="480" w:lineRule="auto"/>
        <w:jc w:val="both"/>
        <w:rPr>
          <w:sz w:val="24"/>
          <w:szCs w:val="24"/>
          <w:highlight w:val="yellow"/>
        </w:rPr>
      </w:pPr>
      <w:r>
        <w:rPr>
          <w:sz w:val="24"/>
          <w:szCs w:val="24"/>
          <w:highlight w:val="yellow"/>
        </w:rPr>
        <w:t>[Insert Photo]</w:t>
      </w:r>
    </w:p>
    <w:p w14:paraId="486D9448" w14:textId="77777777" w:rsidR="00273116" w:rsidRDefault="00273116" w:rsidP="00273116">
      <w:pPr>
        <w:spacing w:after="160" w:line="480" w:lineRule="auto"/>
        <w:jc w:val="both"/>
        <w:rPr>
          <w:b/>
          <w:sz w:val="24"/>
          <w:szCs w:val="24"/>
        </w:rPr>
      </w:pPr>
      <w:r>
        <w:rPr>
          <w:b/>
          <w:noProof/>
          <w:sz w:val="24"/>
          <w:szCs w:val="24"/>
          <w:lang w:val="en-US"/>
        </w:rPr>
        <w:lastRenderedPageBreak/>
        <w:drawing>
          <wp:inline distT="0" distB="0" distL="0" distR="0" wp14:anchorId="486B4B4D" wp14:editId="5734B624">
            <wp:extent cx="3803650" cy="1997075"/>
            <wp:effectExtent l="0" t="0" r="0" b="0"/>
            <wp:docPr id="2" name="image5.jpg" descr="Photo 4"/>
            <wp:cNvGraphicFramePr/>
            <a:graphic xmlns:a="http://schemas.openxmlformats.org/drawingml/2006/main">
              <a:graphicData uri="http://schemas.openxmlformats.org/drawingml/2006/picture">
                <pic:pic xmlns:pic="http://schemas.openxmlformats.org/drawingml/2006/picture">
                  <pic:nvPicPr>
                    <pic:cNvPr id="0" name="image5.jpg" descr="Photo 4"/>
                    <pic:cNvPicPr preferRelativeResize="0"/>
                  </pic:nvPicPr>
                  <pic:blipFill>
                    <a:blip r:embed="rId9"/>
                    <a:srcRect/>
                    <a:stretch>
                      <a:fillRect/>
                    </a:stretch>
                  </pic:blipFill>
                  <pic:spPr>
                    <a:xfrm>
                      <a:off x="0" y="0"/>
                      <a:ext cx="3803650" cy="1997075"/>
                    </a:xfrm>
                    <a:prstGeom prst="rect">
                      <a:avLst/>
                    </a:prstGeom>
                    <a:ln/>
                  </pic:spPr>
                </pic:pic>
              </a:graphicData>
            </a:graphic>
          </wp:inline>
        </w:drawing>
      </w:r>
    </w:p>
    <w:p w14:paraId="2EDE7A0F" w14:textId="77777777" w:rsidR="00273116" w:rsidRDefault="00273116">
      <w:pPr>
        <w:spacing w:after="160" w:line="480" w:lineRule="auto"/>
        <w:jc w:val="both"/>
        <w:rPr>
          <w:sz w:val="24"/>
          <w:szCs w:val="24"/>
        </w:rPr>
      </w:pPr>
      <w:r>
        <w:rPr>
          <w:b/>
          <w:sz w:val="24"/>
          <w:szCs w:val="24"/>
        </w:rPr>
        <w:t>Photo 1:</w:t>
      </w:r>
      <w:r>
        <w:rPr>
          <w:sz w:val="24"/>
          <w:szCs w:val="24"/>
        </w:rPr>
        <w:t xml:space="preserve"> </w:t>
      </w:r>
      <w:proofErr w:type="spellStart"/>
      <w:r>
        <w:rPr>
          <w:i/>
          <w:sz w:val="24"/>
          <w:szCs w:val="24"/>
        </w:rPr>
        <w:t>In|Dignity</w:t>
      </w:r>
      <w:proofErr w:type="spellEnd"/>
      <w:r>
        <w:rPr>
          <w:sz w:val="24"/>
          <w:szCs w:val="24"/>
        </w:rPr>
        <w:t xml:space="preserve"> was on display at California State University San Bernardino from January to December 2018.</w:t>
      </w:r>
    </w:p>
    <w:p w14:paraId="27FD4B25" w14:textId="0EE9826A" w:rsidR="00D47991" w:rsidRDefault="00601F2D">
      <w:pPr>
        <w:spacing w:after="160" w:line="480" w:lineRule="auto"/>
        <w:jc w:val="both"/>
        <w:rPr>
          <w:sz w:val="24"/>
          <w:szCs w:val="24"/>
        </w:rPr>
      </w:pPr>
      <w:r>
        <w:rPr>
          <w:sz w:val="24"/>
          <w:szCs w:val="24"/>
        </w:rPr>
        <w:t>W</w:t>
      </w:r>
      <w:r w:rsidR="00DF3F80">
        <w:rPr>
          <w:sz w:val="24"/>
          <w:szCs w:val="24"/>
        </w:rPr>
        <w:t>hen developing the narratives we were mindful to avoid the production of a ‘spectacle of suffering’ (</w:t>
      </w:r>
      <w:proofErr w:type="spellStart"/>
      <w:r w:rsidR="00DF3F80">
        <w:rPr>
          <w:sz w:val="24"/>
          <w:szCs w:val="24"/>
        </w:rPr>
        <w:t>Bonnell</w:t>
      </w:r>
      <w:proofErr w:type="spellEnd"/>
      <w:r w:rsidR="00DF3F80">
        <w:rPr>
          <w:sz w:val="24"/>
          <w:szCs w:val="24"/>
        </w:rPr>
        <w:t xml:space="preserve"> and Simon 2007)</w:t>
      </w:r>
      <w:r w:rsidR="00AB4177">
        <w:rPr>
          <w:sz w:val="24"/>
          <w:szCs w:val="24"/>
        </w:rPr>
        <w:t xml:space="preserve"> which would degrade </w:t>
      </w:r>
      <w:proofErr w:type="spellStart"/>
      <w:r w:rsidR="00AB4177">
        <w:rPr>
          <w:sz w:val="24"/>
          <w:szCs w:val="24"/>
        </w:rPr>
        <w:t>inteviewees</w:t>
      </w:r>
      <w:proofErr w:type="spellEnd"/>
      <w:r w:rsidR="00AB4177">
        <w:rPr>
          <w:sz w:val="24"/>
          <w:szCs w:val="24"/>
        </w:rPr>
        <w:t xml:space="preserve"> and render visitors as </w:t>
      </w:r>
      <w:commentRangeStart w:id="22"/>
      <w:commentRangeStart w:id="23"/>
      <w:r w:rsidR="00AB4177">
        <w:rPr>
          <w:sz w:val="24"/>
          <w:szCs w:val="24"/>
        </w:rPr>
        <w:t>voyeurs</w:t>
      </w:r>
      <w:commentRangeEnd w:id="22"/>
      <w:r w:rsidR="00AB4177">
        <w:rPr>
          <w:rStyle w:val="CommentReference"/>
        </w:rPr>
        <w:commentReference w:id="22"/>
      </w:r>
      <w:commentRangeEnd w:id="23"/>
      <w:r w:rsidR="00B91916">
        <w:rPr>
          <w:rStyle w:val="CommentReference"/>
        </w:rPr>
        <w:commentReference w:id="23"/>
      </w:r>
      <w:r w:rsidR="00DF3F80">
        <w:rPr>
          <w:sz w:val="24"/>
          <w:szCs w:val="24"/>
        </w:rPr>
        <w:t xml:space="preserve">. </w:t>
      </w:r>
      <w:r w:rsidR="00AB4177">
        <w:rPr>
          <w:sz w:val="24"/>
          <w:szCs w:val="24"/>
        </w:rPr>
        <w:t>W</w:t>
      </w:r>
      <w:r w:rsidR="00DF3F80">
        <w:rPr>
          <w:sz w:val="24"/>
          <w:szCs w:val="24"/>
        </w:rPr>
        <w:t xml:space="preserve">hile raw, affective </w:t>
      </w:r>
      <w:r w:rsidR="0032302B">
        <w:rPr>
          <w:sz w:val="24"/>
          <w:szCs w:val="24"/>
        </w:rPr>
        <w:t>experiences of marginalization we</w:t>
      </w:r>
      <w:r w:rsidR="00DF3F80">
        <w:rPr>
          <w:sz w:val="24"/>
          <w:szCs w:val="24"/>
        </w:rPr>
        <w:t xml:space="preserve">re central to the power of </w:t>
      </w:r>
      <w:proofErr w:type="spellStart"/>
      <w:r w:rsidR="00DF3F80">
        <w:rPr>
          <w:i/>
          <w:sz w:val="24"/>
          <w:szCs w:val="24"/>
        </w:rPr>
        <w:t>In|Dignity</w:t>
      </w:r>
      <w:proofErr w:type="spellEnd"/>
      <w:r w:rsidR="00DF3F80">
        <w:rPr>
          <w:sz w:val="24"/>
          <w:szCs w:val="24"/>
        </w:rPr>
        <w:t xml:space="preserve">, each narrative </w:t>
      </w:r>
      <w:commentRangeStart w:id="24"/>
      <w:r w:rsidR="00DF3F80">
        <w:rPr>
          <w:sz w:val="24"/>
          <w:szCs w:val="24"/>
        </w:rPr>
        <w:t xml:space="preserve">offers </w:t>
      </w:r>
      <w:commentRangeEnd w:id="24"/>
      <w:r w:rsidR="0032302B">
        <w:rPr>
          <w:rStyle w:val="CommentReference"/>
        </w:rPr>
        <w:commentReference w:id="24"/>
      </w:r>
      <w:r w:rsidR="00DF3F80">
        <w:rPr>
          <w:sz w:val="24"/>
          <w:szCs w:val="24"/>
        </w:rPr>
        <w:t xml:space="preserve">(and arguably centres on) wisdom and insights that </w:t>
      </w:r>
      <w:r w:rsidR="00AB4177">
        <w:rPr>
          <w:sz w:val="24"/>
          <w:szCs w:val="24"/>
        </w:rPr>
        <w:t xml:space="preserve">portray </w:t>
      </w:r>
      <w:r w:rsidR="00DF3F80">
        <w:rPr>
          <w:sz w:val="24"/>
          <w:szCs w:val="24"/>
        </w:rPr>
        <w:t xml:space="preserve">the participant’s resilience, achievement, capacities, and overall worthiness of esteem and respect. This is not to be mistaken for a </w:t>
      </w:r>
      <w:proofErr w:type="spellStart"/>
      <w:r w:rsidR="00DF3F80">
        <w:rPr>
          <w:sz w:val="24"/>
          <w:szCs w:val="24"/>
        </w:rPr>
        <w:t>trope</w:t>
      </w:r>
      <w:proofErr w:type="spellEnd"/>
      <w:r w:rsidR="00DF3F80">
        <w:rPr>
          <w:sz w:val="24"/>
          <w:szCs w:val="24"/>
        </w:rPr>
        <w:t xml:space="preserve"> of ‘try hard and you can overcome anything.’ While the narratives did avoid defeatism, they simultaneously highlighted systemic forces of marginalization that make individual journeys challenging and ongoing, and they made clear that while each participant may have been shaped by hardships they </w:t>
      </w:r>
      <w:commentRangeStart w:id="25"/>
      <w:r w:rsidR="00DF3F80">
        <w:rPr>
          <w:sz w:val="24"/>
          <w:szCs w:val="24"/>
        </w:rPr>
        <w:t>were</w:t>
      </w:r>
      <w:commentRangeEnd w:id="25"/>
      <w:r w:rsidR="00A67D71">
        <w:rPr>
          <w:rStyle w:val="CommentReference"/>
        </w:rPr>
        <w:commentReference w:id="25"/>
      </w:r>
      <w:r w:rsidR="00DF3F80">
        <w:rPr>
          <w:sz w:val="24"/>
          <w:szCs w:val="24"/>
        </w:rPr>
        <w:t xml:space="preserve"> not defined by them. </w:t>
      </w:r>
    </w:p>
    <w:p w14:paraId="3B389F09" w14:textId="77777777" w:rsidR="00D47991" w:rsidRDefault="00DF3F80">
      <w:pPr>
        <w:spacing w:after="160" w:line="480" w:lineRule="auto"/>
        <w:jc w:val="both"/>
        <w:rPr>
          <w:sz w:val="24"/>
          <w:szCs w:val="24"/>
        </w:rPr>
      </w:pPr>
      <w:r>
        <w:rPr>
          <w:sz w:val="24"/>
          <w:szCs w:val="24"/>
          <w:highlight w:val="yellow"/>
        </w:rPr>
        <w:t>[Insert photo]</w:t>
      </w:r>
      <w:r>
        <w:rPr>
          <w:sz w:val="24"/>
          <w:szCs w:val="24"/>
        </w:rPr>
        <w:t xml:space="preserve"> </w:t>
      </w:r>
    </w:p>
    <w:p w14:paraId="0639F8E2" w14:textId="77777777" w:rsidR="00D47991" w:rsidRDefault="0032302B">
      <w:pPr>
        <w:spacing w:after="160" w:line="480" w:lineRule="auto"/>
        <w:jc w:val="both"/>
        <w:rPr>
          <w:sz w:val="24"/>
          <w:szCs w:val="24"/>
        </w:rPr>
      </w:pPr>
      <w:r>
        <w:rPr>
          <w:sz w:val="24"/>
          <w:szCs w:val="24"/>
        </w:rPr>
        <w:lastRenderedPageBreak/>
        <w:pict w14:anchorId="1C3C75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282pt">
            <v:imagedata r:id="rId10" o:title="Photo 1 sm" grayscale="t"/>
          </v:shape>
        </w:pict>
      </w:r>
    </w:p>
    <w:p w14:paraId="790DBD0E" w14:textId="6D689C45" w:rsidR="00D47991" w:rsidRDefault="00DF3F80">
      <w:pPr>
        <w:spacing w:after="160" w:line="480" w:lineRule="auto"/>
        <w:jc w:val="both"/>
        <w:rPr>
          <w:sz w:val="24"/>
          <w:szCs w:val="24"/>
          <w:highlight w:val="yellow"/>
        </w:rPr>
      </w:pPr>
      <w:r>
        <w:rPr>
          <w:b/>
          <w:sz w:val="24"/>
          <w:szCs w:val="24"/>
        </w:rPr>
        <w:t>Photo 2:</w:t>
      </w:r>
      <w:r>
        <w:rPr>
          <w:sz w:val="24"/>
          <w:szCs w:val="24"/>
        </w:rPr>
        <w:t xml:space="preserve"> </w:t>
      </w:r>
      <w:r w:rsidR="00601F2D">
        <w:rPr>
          <w:sz w:val="24"/>
          <w:szCs w:val="24"/>
        </w:rPr>
        <w:t>E</w:t>
      </w:r>
      <w:r>
        <w:rPr>
          <w:sz w:val="24"/>
          <w:szCs w:val="24"/>
        </w:rPr>
        <w:t>xhibition panel for D-</w:t>
      </w:r>
      <w:proofErr w:type="spellStart"/>
      <w:r>
        <w:rPr>
          <w:sz w:val="24"/>
          <w:szCs w:val="24"/>
        </w:rPr>
        <w:t>skyy</w:t>
      </w:r>
      <w:proofErr w:type="spellEnd"/>
      <w:r>
        <w:rPr>
          <w:sz w:val="24"/>
          <w:szCs w:val="24"/>
        </w:rPr>
        <w:t xml:space="preserve">, one of 43 community members who participated in </w:t>
      </w:r>
      <w:proofErr w:type="spellStart"/>
      <w:r>
        <w:rPr>
          <w:i/>
          <w:sz w:val="24"/>
          <w:szCs w:val="24"/>
        </w:rPr>
        <w:t>In|Dignity</w:t>
      </w:r>
      <w:proofErr w:type="spellEnd"/>
      <w:r>
        <w:rPr>
          <w:sz w:val="24"/>
          <w:szCs w:val="24"/>
        </w:rPr>
        <w:t xml:space="preserve">. </w:t>
      </w:r>
    </w:p>
    <w:p w14:paraId="1F1AC2D1" w14:textId="37044859" w:rsidR="00D47991" w:rsidRDefault="00DF3F80">
      <w:pPr>
        <w:spacing w:after="160" w:line="480" w:lineRule="auto"/>
        <w:jc w:val="both"/>
        <w:rPr>
          <w:sz w:val="24"/>
          <w:szCs w:val="24"/>
        </w:rPr>
      </w:pPr>
      <w:r>
        <w:rPr>
          <w:sz w:val="24"/>
          <w:szCs w:val="24"/>
        </w:rPr>
        <w:t xml:space="preserve">Each </w:t>
      </w:r>
      <w:proofErr w:type="spellStart"/>
      <w:r>
        <w:rPr>
          <w:i/>
          <w:sz w:val="24"/>
          <w:szCs w:val="24"/>
        </w:rPr>
        <w:t>In|Dignity</w:t>
      </w:r>
      <w:proofErr w:type="spellEnd"/>
      <w:r>
        <w:rPr>
          <w:sz w:val="24"/>
          <w:szCs w:val="24"/>
        </w:rPr>
        <w:t xml:space="preserve"> narrative was accompanied by a black and white portrait </w:t>
      </w:r>
      <w:r w:rsidR="00AB4177">
        <w:rPr>
          <w:sz w:val="24"/>
          <w:szCs w:val="24"/>
        </w:rPr>
        <w:t xml:space="preserve">of the speaker </w:t>
      </w:r>
      <w:r>
        <w:rPr>
          <w:sz w:val="24"/>
          <w:szCs w:val="24"/>
        </w:rPr>
        <w:t xml:space="preserve">prepared by CSUSB faculty member Tom McGovern, who specializes in documentary photography - a method of visual storytelling that aims to </w:t>
      </w:r>
      <w:r w:rsidR="00601F2D">
        <w:rPr>
          <w:sz w:val="24"/>
          <w:szCs w:val="24"/>
        </w:rPr>
        <w:t xml:space="preserve">instigate </w:t>
      </w:r>
      <w:r>
        <w:rPr>
          <w:sz w:val="24"/>
          <w:szCs w:val="24"/>
        </w:rPr>
        <w:t xml:space="preserve">social change by exposing unseen or ignored realities (Finnegan 2015). McGovern photographed </w:t>
      </w:r>
      <w:proofErr w:type="spellStart"/>
      <w:r>
        <w:rPr>
          <w:i/>
          <w:sz w:val="24"/>
          <w:szCs w:val="24"/>
        </w:rPr>
        <w:t>In|Dignity</w:t>
      </w:r>
      <w:proofErr w:type="spellEnd"/>
      <w:r>
        <w:rPr>
          <w:sz w:val="24"/>
          <w:szCs w:val="24"/>
        </w:rPr>
        <w:t xml:space="preserve"> participants with a 645 medium format film camera. Avoiding digital photography was intentional; utilizing a manual film camera requires contemplation on the part of both photographer and subject, and a conversation between them. The technique also produces a physical negative that is both fragile and unique –</w:t>
      </w:r>
      <w:r w:rsidR="00A67D71">
        <w:rPr>
          <w:sz w:val="24"/>
          <w:szCs w:val="24"/>
        </w:rPr>
        <w:t xml:space="preserve"> </w:t>
      </w:r>
      <w:r>
        <w:rPr>
          <w:sz w:val="24"/>
          <w:szCs w:val="24"/>
        </w:rPr>
        <w:t>just like humans. Participants were asked to select a location for their photo shoot that was meaningful to them</w:t>
      </w:r>
      <w:r w:rsidR="00AB4177">
        <w:rPr>
          <w:sz w:val="24"/>
          <w:szCs w:val="24"/>
        </w:rPr>
        <w:t>. O</w:t>
      </w:r>
      <w:r>
        <w:rPr>
          <w:sz w:val="24"/>
          <w:szCs w:val="24"/>
        </w:rPr>
        <w:t xml:space="preserve">ver four months McGovern drove to each location and spent time getting to know </w:t>
      </w:r>
      <w:r>
        <w:rPr>
          <w:sz w:val="24"/>
          <w:szCs w:val="24"/>
        </w:rPr>
        <w:lastRenderedPageBreak/>
        <w:t xml:space="preserve">participants before photographing them. McGovern’s process thus not only produced sharp images with natural postures, but also embodied the humanistic </w:t>
      </w:r>
      <w:r w:rsidR="00AB4177">
        <w:rPr>
          <w:sz w:val="24"/>
          <w:szCs w:val="24"/>
        </w:rPr>
        <w:t xml:space="preserve">relationship </w:t>
      </w:r>
      <w:r>
        <w:rPr>
          <w:sz w:val="24"/>
          <w:szCs w:val="24"/>
        </w:rPr>
        <w:t xml:space="preserve">building that </w:t>
      </w:r>
      <w:proofErr w:type="spellStart"/>
      <w:r>
        <w:rPr>
          <w:i/>
          <w:sz w:val="24"/>
          <w:szCs w:val="24"/>
        </w:rPr>
        <w:t>In|Dignity</w:t>
      </w:r>
      <w:proofErr w:type="spellEnd"/>
      <w:r>
        <w:rPr>
          <w:sz w:val="24"/>
          <w:szCs w:val="24"/>
        </w:rPr>
        <w:t xml:space="preserve"> sought to promote. </w:t>
      </w:r>
    </w:p>
    <w:p w14:paraId="60B081CC" w14:textId="77777777" w:rsidR="00D47991" w:rsidRDefault="00DF3F80">
      <w:pPr>
        <w:spacing w:after="160" w:line="480" w:lineRule="auto"/>
        <w:jc w:val="both"/>
        <w:rPr>
          <w:sz w:val="24"/>
          <w:szCs w:val="24"/>
          <w:highlight w:val="yellow"/>
        </w:rPr>
      </w:pPr>
      <w:r>
        <w:rPr>
          <w:sz w:val="24"/>
          <w:szCs w:val="24"/>
          <w:highlight w:val="yellow"/>
        </w:rPr>
        <w:t>[Insert photo]</w:t>
      </w:r>
    </w:p>
    <w:p w14:paraId="6E705FF3" w14:textId="77777777" w:rsidR="00D47991" w:rsidRDefault="0032302B">
      <w:pPr>
        <w:spacing w:after="160" w:line="480" w:lineRule="auto"/>
        <w:jc w:val="both"/>
        <w:rPr>
          <w:sz w:val="24"/>
          <w:szCs w:val="24"/>
          <w:highlight w:val="yellow"/>
        </w:rPr>
      </w:pPr>
      <w:r>
        <w:rPr>
          <w:sz w:val="24"/>
          <w:szCs w:val="24"/>
          <w:highlight w:val="yellow"/>
        </w:rPr>
        <w:pict w14:anchorId="5682A9FA">
          <v:shape id="_x0000_i1026" type="#_x0000_t75" style="width:141.75pt;height:177pt">
            <v:imagedata r:id="rId11" o:title="Photo 2"/>
          </v:shape>
        </w:pict>
      </w:r>
    </w:p>
    <w:p w14:paraId="681DDC3E" w14:textId="77777777" w:rsidR="00D47991" w:rsidRDefault="00DF3F80">
      <w:pPr>
        <w:spacing w:after="160" w:line="480" w:lineRule="auto"/>
        <w:jc w:val="both"/>
        <w:rPr>
          <w:sz w:val="24"/>
          <w:szCs w:val="24"/>
        </w:rPr>
      </w:pPr>
      <w:r>
        <w:rPr>
          <w:b/>
          <w:sz w:val="24"/>
          <w:szCs w:val="24"/>
        </w:rPr>
        <w:t>Photo 3:</w:t>
      </w:r>
      <w:r>
        <w:rPr>
          <w:sz w:val="24"/>
          <w:szCs w:val="24"/>
        </w:rPr>
        <w:t xml:space="preserve"> Portrait of Jeremy, one of 43 community members who participated in </w:t>
      </w:r>
      <w:proofErr w:type="spellStart"/>
      <w:r>
        <w:rPr>
          <w:i/>
          <w:sz w:val="24"/>
          <w:szCs w:val="24"/>
        </w:rPr>
        <w:t>In|Dignity</w:t>
      </w:r>
      <w:proofErr w:type="spellEnd"/>
      <w:r>
        <w:rPr>
          <w:sz w:val="24"/>
          <w:szCs w:val="24"/>
        </w:rPr>
        <w:t xml:space="preserve">. Image by Tom McGovern     . </w:t>
      </w:r>
    </w:p>
    <w:p w14:paraId="5C97372D" w14:textId="3AE0A467" w:rsidR="00D47991" w:rsidRDefault="00DF3F80">
      <w:pPr>
        <w:spacing w:after="160" w:line="480" w:lineRule="auto"/>
        <w:jc w:val="both"/>
        <w:rPr>
          <w:sz w:val="24"/>
          <w:szCs w:val="24"/>
        </w:rPr>
      </w:pPr>
      <w:r>
        <w:rPr>
          <w:sz w:val="24"/>
          <w:szCs w:val="24"/>
        </w:rPr>
        <w:t>We additionally asked each participant to select an object to represent their identity, how others see them, or how they see themselves and to provide a short explanation</w:t>
      </w:r>
      <w:r w:rsidR="00601F2D">
        <w:rPr>
          <w:sz w:val="24"/>
          <w:szCs w:val="24"/>
        </w:rPr>
        <w:t xml:space="preserve"> of their selection</w:t>
      </w:r>
      <w:r>
        <w:rPr>
          <w:sz w:val="24"/>
          <w:szCs w:val="24"/>
        </w:rPr>
        <w:t xml:space="preserve">. Accommodating their choices meant </w:t>
      </w:r>
      <w:r w:rsidR="00B91916">
        <w:rPr>
          <w:sz w:val="24"/>
          <w:szCs w:val="24"/>
        </w:rPr>
        <w:t>reconsider</w:t>
      </w:r>
      <w:commentRangeStart w:id="26"/>
      <w:commentRangeStart w:id="27"/>
      <w:r>
        <w:rPr>
          <w:sz w:val="24"/>
          <w:szCs w:val="24"/>
        </w:rPr>
        <w:t>ing</w:t>
      </w:r>
      <w:commentRangeEnd w:id="26"/>
      <w:r w:rsidR="00AB4177">
        <w:rPr>
          <w:rStyle w:val="CommentReference"/>
        </w:rPr>
        <w:commentReference w:id="26"/>
      </w:r>
      <w:commentRangeEnd w:id="27"/>
      <w:r w:rsidR="00B91916">
        <w:rPr>
          <w:rStyle w:val="CommentReference"/>
        </w:rPr>
        <w:commentReference w:id="27"/>
      </w:r>
      <w:r>
        <w:rPr>
          <w:sz w:val="24"/>
          <w:szCs w:val="24"/>
        </w:rPr>
        <w:t xml:space="preserve"> criteria for what counts as an object worthy of display and allowing for diverse interpretations and agendas to emerge rather than homogenizing them or forcing them to fit into a single storyline. This is </w:t>
      </w:r>
      <w:r w:rsidR="00601F2D">
        <w:rPr>
          <w:sz w:val="24"/>
          <w:szCs w:val="24"/>
        </w:rPr>
        <w:t>consistent</w:t>
      </w:r>
      <w:r>
        <w:rPr>
          <w:sz w:val="24"/>
          <w:szCs w:val="24"/>
        </w:rPr>
        <w:t xml:space="preserve"> with best practices advocated by other curators who have incorporated community objects into museum displays (Lynch and </w:t>
      </w:r>
      <w:proofErr w:type="spellStart"/>
      <w:r>
        <w:rPr>
          <w:sz w:val="24"/>
          <w:szCs w:val="24"/>
        </w:rPr>
        <w:t>Alberti</w:t>
      </w:r>
      <w:proofErr w:type="spellEnd"/>
      <w:r>
        <w:rPr>
          <w:sz w:val="24"/>
          <w:szCs w:val="24"/>
        </w:rPr>
        <w:t xml:space="preserve"> 2010: 26).</w:t>
      </w:r>
    </w:p>
    <w:p w14:paraId="302C8E78" w14:textId="77777777" w:rsidR="00D47991" w:rsidRDefault="00DF3F80">
      <w:pPr>
        <w:spacing w:after="160" w:line="480" w:lineRule="auto"/>
        <w:jc w:val="both"/>
        <w:rPr>
          <w:sz w:val="24"/>
          <w:szCs w:val="24"/>
          <w:highlight w:val="yellow"/>
        </w:rPr>
      </w:pPr>
      <w:r>
        <w:rPr>
          <w:sz w:val="24"/>
          <w:szCs w:val="24"/>
          <w:highlight w:val="yellow"/>
        </w:rPr>
        <w:t>[</w:t>
      </w:r>
      <w:proofErr w:type="gramStart"/>
      <w:r>
        <w:rPr>
          <w:sz w:val="24"/>
          <w:szCs w:val="24"/>
          <w:highlight w:val="yellow"/>
        </w:rPr>
        <w:t>insert</w:t>
      </w:r>
      <w:proofErr w:type="gramEnd"/>
      <w:r>
        <w:rPr>
          <w:sz w:val="24"/>
          <w:szCs w:val="24"/>
          <w:highlight w:val="yellow"/>
        </w:rPr>
        <w:t xml:space="preserve"> photo]</w:t>
      </w:r>
    </w:p>
    <w:p w14:paraId="38625242" w14:textId="77777777" w:rsidR="00D47991" w:rsidRDefault="0032302B">
      <w:pPr>
        <w:spacing w:after="160" w:line="480" w:lineRule="auto"/>
        <w:jc w:val="both"/>
        <w:rPr>
          <w:b/>
          <w:sz w:val="24"/>
          <w:szCs w:val="24"/>
        </w:rPr>
      </w:pPr>
      <w:r>
        <w:rPr>
          <w:b/>
          <w:sz w:val="24"/>
          <w:szCs w:val="24"/>
        </w:rPr>
        <w:lastRenderedPageBreak/>
        <w:pict w14:anchorId="6DBFBDF9">
          <v:shape id="_x0000_i1027" type="#_x0000_t75" style="width:247.5pt;height:105.75pt">
            <v:imagedata r:id="rId12" o:title="Photo 3" grayscale="t"/>
          </v:shape>
        </w:pict>
      </w:r>
    </w:p>
    <w:p w14:paraId="2EFA7E73" w14:textId="77777777" w:rsidR="00D47991" w:rsidRDefault="00DF3F80">
      <w:pPr>
        <w:spacing w:after="160" w:line="480" w:lineRule="auto"/>
        <w:jc w:val="both"/>
        <w:rPr>
          <w:sz w:val="24"/>
          <w:szCs w:val="24"/>
        </w:rPr>
      </w:pPr>
      <w:r>
        <w:rPr>
          <w:b/>
          <w:sz w:val="24"/>
          <w:szCs w:val="24"/>
        </w:rPr>
        <w:t>Photo 4</w:t>
      </w:r>
      <w:r>
        <w:rPr>
          <w:sz w:val="24"/>
          <w:szCs w:val="24"/>
        </w:rPr>
        <w:t>: Object caption for Maryam’s head scarf.</w:t>
      </w:r>
    </w:p>
    <w:p w14:paraId="5AD1DEC3" w14:textId="0012163B" w:rsidR="00D47991" w:rsidRDefault="00DF3F80">
      <w:pPr>
        <w:spacing w:after="160" w:line="480" w:lineRule="auto"/>
        <w:jc w:val="both"/>
        <w:rPr>
          <w:sz w:val="24"/>
          <w:szCs w:val="24"/>
        </w:rPr>
      </w:pPr>
      <w:r>
        <w:rPr>
          <w:sz w:val="24"/>
          <w:szCs w:val="24"/>
        </w:rPr>
        <w:t xml:space="preserve">Each participant was gifted a print of McGovern’s portrait of them, the cache of digital images he took to warm up for the manual shots, and a full colour 120-page exhibition catalogue. </w:t>
      </w:r>
      <w:r w:rsidR="00601F2D">
        <w:rPr>
          <w:sz w:val="24"/>
          <w:szCs w:val="24"/>
        </w:rPr>
        <w:t>W</w:t>
      </w:r>
      <w:r>
        <w:rPr>
          <w:sz w:val="24"/>
          <w:szCs w:val="24"/>
        </w:rPr>
        <w:t xml:space="preserve">e </w:t>
      </w:r>
      <w:r w:rsidR="00601F2D">
        <w:rPr>
          <w:sz w:val="24"/>
          <w:szCs w:val="24"/>
        </w:rPr>
        <w:t xml:space="preserve">further </w:t>
      </w:r>
      <w:r>
        <w:rPr>
          <w:sz w:val="24"/>
          <w:szCs w:val="24"/>
        </w:rPr>
        <w:t>honoured participants’ stories through a collaboration with the CSUSB Department of Theatre Arts, in which students, community members, and faculty prepare</w:t>
      </w:r>
      <w:r w:rsidR="00601F2D">
        <w:rPr>
          <w:sz w:val="24"/>
          <w:szCs w:val="24"/>
        </w:rPr>
        <w:t>d</w:t>
      </w:r>
      <w:r>
        <w:rPr>
          <w:sz w:val="24"/>
          <w:szCs w:val="24"/>
        </w:rPr>
        <w:t xml:space="preserve"> a performance based on the narratives.</w:t>
      </w:r>
      <w:r>
        <w:rPr>
          <w:sz w:val="24"/>
          <w:szCs w:val="24"/>
          <w:vertAlign w:val="superscript"/>
        </w:rPr>
        <w:footnoteReference w:id="8"/>
      </w:r>
      <w:r>
        <w:rPr>
          <w:sz w:val="24"/>
          <w:szCs w:val="24"/>
        </w:rPr>
        <w:t xml:space="preserve"> The show was scripted and developed using techniques of devised theatre - a method for creating an original work through collaborative and improvisational participation by the entire company (</w:t>
      </w:r>
      <w:proofErr w:type="spellStart"/>
      <w:r>
        <w:rPr>
          <w:sz w:val="24"/>
          <w:szCs w:val="24"/>
        </w:rPr>
        <w:t>Chemers</w:t>
      </w:r>
      <w:proofErr w:type="spellEnd"/>
      <w:r>
        <w:rPr>
          <w:sz w:val="24"/>
          <w:szCs w:val="24"/>
        </w:rPr>
        <w:t xml:space="preserve"> 2010: 133-6). By using these techniques, the theatre ensemble aimed to replicate the </w:t>
      </w:r>
      <w:r w:rsidR="00507910">
        <w:rPr>
          <w:sz w:val="24"/>
          <w:szCs w:val="24"/>
        </w:rPr>
        <w:t xml:space="preserve">objectives </w:t>
      </w:r>
      <w:r>
        <w:rPr>
          <w:sz w:val="24"/>
          <w:szCs w:val="24"/>
        </w:rPr>
        <w:t xml:space="preserve">of the broader </w:t>
      </w:r>
      <w:proofErr w:type="spellStart"/>
      <w:r>
        <w:rPr>
          <w:i/>
          <w:sz w:val="24"/>
          <w:szCs w:val="24"/>
        </w:rPr>
        <w:t>In|Dignity</w:t>
      </w:r>
      <w:proofErr w:type="spellEnd"/>
      <w:r>
        <w:rPr>
          <w:i/>
          <w:sz w:val="24"/>
          <w:szCs w:val="24"/>
        </w:rPr>
        <w:t xml:space="preserve"> </w:t>
      </w:r>
      <w:r>
        <w:rPr>
          <w:sz w:val="24"/>
          <w:szCs w:val="24"/>
        </w:rPr>
        <w:t xml:space="preserve">project not only in content but in methodology, abandoning credentialed expertise as a qualification for participation and uniting multiple voices for a common purpose. </w:t>
      </w:r>
      <w:proofErr w:type="spellStart"/>
      <w:r>
        <w:rPr>
          <w:i/>
          <w:sz w:val="24"/>
          <w:szCs w:val="24"/>
        </w:rPr>
        <w:t>In|Dignity</w:t>
      </w:r>
      <w:proofErr w:type="spellEnd"/>
      <w:r>
        <w:rPr>
          <w:sz w:val="24"/>
          <w:szCs w:val="24"/>
        </w:rPr>
        <w:t xml:space="preserve"> participants were among the audience members for the two performances, and they reported that the </w:t>
      </w:r>
      <w:r>
        <w:rPr>
          <w:sz w:val="24"/>
          <w:szCs w:val="24"/>
        </w:rPr>
        <w:lastRenderedPageBreak/>
        <w:t xml:space="preserve">experience of having someone else utter their words </w:t>
      </w:r>
      <w:r w:rsidR="00AB4177">
        <w:rPr>
          <w:sz w:val="24"/>
          <w:szCs w:val="24"/>
        </w:rPr>
        <w:t xml:space="preserve">on stage </w:t>
      </w:r>
      <w:r>
        <w:rPr>
          <w:sz w:val="24"/>
          <w:szCs w:val="24"/>
        </w:rPr>
        <w:t xml:space="preserve">was cathartic and empowering. The actors also reported the impact of meeting the individuals they portrayed as humbling and inspiring. </w:t>
      </w:r>
    </w:p>
    <w:p w14:paraId="405BC8A4" w14:textId="77777777" w:rsidR="00D47991" w:rsidRDefault="00DF3F80">
      <w:pPr>
        <w:spacing w:after="160" w:line="480" w:lineRule="auto"/>
        <w:jc w:val="both"/>
        <w:rPr>
          <w:sz w:val="24"/>
          <w:szCs w:val="24"/>
        </w:rPr>
      </w:pPr>
      <w:r>
        <w:rPr>
          <w:sz w:val="24"/>
          <w:szCs w:val="24"/>
          <w:highlight w:val="yellow"/>
        </w:rPr>
        <w:t>[Insert Photo]</w:t>
      </w:r>
    </w:p>
    <w:p w14:paraId="1C2D0157" w14:textId="77777777" w:rsidR="00D47991" w:rsidRDefault="0032302B">
      <w:pPr>
        <w:spacing w:after="160" w:line="480" w:lineRule="auto"/>
        <w:jc w:val="both"/>
        <w:rPr>
          <w:sz w:val="24"/>
          <w:szCs w:val="24"/>
        </w:rPr>
      </w:pPr>
      <w:r>
        <w:rPr>
          <w:sz w:val="24"/>
          <w:szCs w:val="24"/>
          <w:highlight w:val="yellow"/>
        </w:rPr>
        <w:pict w14:anchorId="6FE7F7B5">
          <v:shape id="_x0000_i1028" type="#_x0000_t75" style="width:278.25pt;height:184.5pt">
            <v:imagedata r:id="rId13" o:title="Photo 5" grayscale="t"/>
          </v:shape>
        </w:pict>
      </w:r>
    </w:p>
    <w:p w14:paraId="05991E35" w14:textId="77777777" w:rsidR="00D47991" w:rsidRDefault="00DF3F80">
      <w:pPr>
        <w:spacing w:after="160" w:line="480" w:lineRule="auto"/>
        <w:jc w:val="both"/>
        <w:rPr>
          <w:sz w:val="24"/>
          <w:szCs w:val="24"/>
        </w:rPr>
      </w:pPr>
      <w:r>
        <w:rPr>
          <w:b/>
          <w:sz w:val="24"/>
          <w:szCs w:val="24"/>
        </w:rPr>
        <w:t>Photo 5:</w:t>
      </w:r>
      <w:r>
        <w:rPr>
          <w:sz w:val="24"/>
          <w:szCs w:val="24"/>
        </w:rPr>
        <w:t xml:space="preserve"> </w:t>
      </w:r>
      <w:r w:rsidR="00621B33">
        <w:rPr>
          <w:sz w:val="24"/>
          <w:szCs w:val="24"/>
        </w:rPr>
        <w:t>The theatrical team poses</w:t>
      </w:r>
      <w:r>
        <w:rPr>
          <w:sz w:val="24"/>
          <w:szCs w:val="24"/>
        </w:rPr>
        <w:t xml:space="preserve"> for a picture with </w:t>
      </w:r>
      <w:proofErr w:type="spellStart"/>
      <w:r>
        <w:rPr>
          <w:i/>
          <w:sz w:val="24"/>
          <w:szCs w:val="24"/>
        </w:rPr>
        <w:t>In|Dignity</w:t>
      </w:r>
      <w:proofErr w:type="spellEnd"/>
      <w:r>
        <w:rPr>
          <w:sz w:val="24"/>
          <w:szCs w:val="24"/>
        </w:rPr>
        <w:t xml:space="preserve"> participants</w:t>
      </w:r>
      <w:r w:rsidR="00621B33">
        <w:rPr>
          <w:sz w:val="24"/>
          <w:szCs w:val="24"/>
        </w:rPr>
        <w:t xml:space="preserve"> </w:t>
      </w:r>
      <w:r>
        <w:rPr>
          <w:sz w:val="24"/>
          <w:szCs w:val="24"/>
        </w:rPr>
        <w:t xml:space="preserve">and </w:t>
      </w:r>
      <w:proofErr w:type="spellStart"/>
      <w:r>
        <w:rPr>
          <w:i/>
          <w:sz w:val="24"/>
          <w:szCs w:val="24"/>
        </w:rPr>
        <w:t>In|Dignity</w:t>
      </w:r>
      <w:proofErr w:type="spellEnd"/>
      <w:r>
        <w:rPr>
          <w:sz w:val="24"/>
          <w:szCs w:val="24"/>
        </w:rPr>
        <w:t xml:space="preserve"> curators at a closing reception.</w:t>
      </w:r>
    </w:p>
    <w:p w14:paraId="5E288230" w14:textId="7A7EC409" w:rsidR="00D47991" w:rsidRDefault="00DF3F80">
      <w:pPr>
        <w:spacing w:after="160" w:line="480" w:lineRule="auto"/>
        <w:jc w:val="both"/>
        <w:rPr>
          <w:sz w:val="24"/>
          <w:szCs w:val="24"/>
        </w:rPr>
      </w:pPr>
      <w:proofErr w:type="spellStart"/>
      <w:r>
        <w:rPr>
          <w:i/>
          <w:sz w:val="24"/>
          <w:szCs w:val="24"/>
        </w:rPr>
        <w:t>In|Dignity</w:t>
      </w:r>
      <w:proofErr w:type="spellEnd"/>
      <w:r>
        <w:rPr>
          <w:sz w:val="24"/>
          <w:szCs w:val="24"/>
        </w:rPr>
        <w:t xml:space="preserve"> ran from January through December of 2018. The project, supported by California Humanities, a non-profit partner of the National E</w:t>
      </w:r>
      <w:r w:rsidR="00FB2795">
        <w:rPr>
          <w:sz w:val="24"/>
          <w:szCs w:val="24"/>
        </w:rPr>
        <w:t>ndowment for the Humanities,</w:t>
      </w:r>
      <w:r>
        <w:rPr>
          <w:sz w:val="24"/>
          <w:szCs w:val="24"/>
        </w:rPr>
        <w:t xml:space="preserve"> the Mervyn D. </w:t>
      </w:r>
      <w:proofErr w:type="spellStart"/>
      <w:r>
        <w:rPr>
          <w:sz w:val="24"/>
          <w:szCs w:val="24"/>
        </w:rPr>
        <w:t>Dymally</w:t>
      </w:r>
      <w:proofErr w:type="spellEnd"/>
      <w:r>
        <w:rPr>
          <w:sz w:val="24"/>
          <w:szCs w:val="24"/>
        </w:rPr>
        <w:t xml:space="preserve"> African American Political and Economic Institute</w:t>
      </w:r>
      <w:r w:rsidR="00FB2795">
        <w:rPr>
          <w:sz w:val="24"/>
          <w:szCs w:val="24"/>
        </w:rPr>
        <w:t xml:space="preserve"> and our campus Office of Community Engagement</w:t>
      </w:r>
      <w:r>
        <w:rPr>
          <w:sz w:val="24"/>
          <w:szCs w:val="24"/>
        </w:rPr>
        <w:t xml:space="preserve">, was well attended by </w:t>
      </w:r>
      <w:commentRangeStart w:id="28"/>
      <w:commentRangeStart w:id="29"/>
      <w:r>
        <w:rPr>
          <w:sz w:val="24"/>
          <w:szCs w:val="24"/>
        </w:rPr>
        <w:t>students</w:t>
      </w:r>
      <w:commentRangeEnd w:id="28"/>
      <w:r w:rsidR="00601F2D">
        <w:rPr>
          <w:rStyle w:val="CommentReference"/>
        </w:rPr>
        <w:commentReference w:id="28"/>
      </w:r>
      <w:commentRangeEnd w:id="29"/>
      <w:r w:rsidR="00B91916">
        <w:rPr>
          <w:rStyle w:val="CommentReference"/>
        </w:rPr>
        <w:commentReference w:id="29"/>
      </w:r>
      <w:r>
        <w:rPr>
          <w:sz w:val="24"/>
          <w:szCs w:val="24"/>
        </w:rPr>
        <w:t>, staff, school groups and community members. The exhibition also captivated our County Superintendent of Schools</w:t>
      </w:r>
      <w:r w:rsidR="00AB4177">
        <w:rPr>
          <w:sz w:val="24"/>
          <w:szCs w:val="24"/>
        </w:rPr>
        <w:t>. S</w:t>
      </w:r>
      <w:r>
        <w:rPr>
          <w:sz w:val="24"/>
          <w:szCs w:val="24"/>
        </w:rPr>
        <w:t xml:space="preserve">oon after his visit he commissioned a traveling version of </w:t>
      </w:r>
      <w:proofErr w:type="spellStart"/>
      <w:r>
        <w:rPr>
          <w:i/>
          <w:sz w:val="24"/>
          <w:szCs w:val="24"/>
        </w:rPr>
        <w:t>In|Dignity</w:t>
      </w:r>
      <w:proofErr w:type="spellEnd"/>
      <w:r>
        <w:rPr>
          <w:i/>
          <w:sz w:val="24"/>
          <w:szCs w:val="24"/>
        </w:rPr>
        <w:t xml:space="preserve"> </w:t>
      </w:r>
      <w:r>
        <w:rPr>
          <w:sz w:val="24"/>
          <w:szCs w:val="24"/>
        </w:rPr>
        <w:t xml:space="preserve">to rotate among high schools, </w:t>
      </w:r>
      <w:r w:rsidR="00507910" w:rsidRPr="003348AA">
        <w:rPr>
          <w:sz w:val="24"/>
          <w:szCs w:val="24"/>
        </w:rPr>
        <w:t xml:space="preserve">accompanied by a </w:t>
      </w:r>
      <w:r w:rsidR="0032302B">
        <w:rPr>
          <w:sz w:val="24"/>
          <w:szCs w:val="24"/>
        </w:rPr>
        <w:t>specially developed</w:t>
      </w:r>
      <w:r w:rsidR="00507910" w:rsidRPr="003348AA">
        <w:rPr>
          <w:sz w:val="24"/>
          <w:szCs w:val="24"/>
        </w:rPr>
        <w:t xml:space="preserve"> </w:t>
      </w:r>
      <w:r w:rsidR="00A67D71">
        <w:rPr>
          <w:sz w:val="24"/>
          <w:szCs w:val="24"/>
        </w:rPr>
        <w:t xml:space="preserve">social studies </w:t>
      </w:r>
      <w:r w:rsidR="00507910" w:rsidRPr="003348AA">
        <w:rPr>
          <w:sz w:val="24"/>
          <w:szCs w:val="24"/>
        </w:rPr>
        <w:t xml:space="preserve">curriculum aligned with </w:t>
      </w:r>
      <w:r w:rsidR="00507910" w:rsidRPr="003348AA">
        <w:rPr>
          <w:sz w:val="24"/>
          <w:szCs w:val="24"/>
        </w:rPr>
        <w:lastRenderedPageBreak/>
        <w:t>state learning standards</w:t>
      </w:r>
      <w:r>
        <w:rPr>
          <w:sz w:val="24"/>
          <w:szCs w:val="24"/>
        </w:rPr>
        <w:t>.</w:t>
      </w:r>
      <w:r>
        <w:rPr>
          <w:sz w:val="24"/>
          <w:szCs w:val="24"/>
          <w:vertAlign w:val="superscript"/>
        </w:rPr>
        <w:footnoteReference w:id="9"/>
      </w:r>
      <w:r>
        <w:rPr>
          <w:sz w:val="24"/>
          <w:szCs w:val="24"/>
        </w:rPr>
        <w:t xml:space="preserve"> In this way, we were able to produce a community-defined public good, solicited to benefit the region rather than the individual participants, and support county efforts to promote an anti-bullying agenda. </w:t>
      </w:r>
    </w:p>
    <w:p w14:paraId="53174859" w14:textId="1E1DF76E" w:rsidR="00D47991" w:rsidRDefault="00DF3F80">
      <w:pPr>
        <w:spacing w:after="160" w:line="480" w:lineRule="auto"/>
        <w:jc w:val="both"/>
        <w:rPr>
          <w:sz w:val="24"/>
          <w:szCs w:val="24"/>
        </w:rPr>
      </w:pPr>
      <w:r>
        <w:rPr>
          <w:sz w:val="24"/>
          <w:szCs w:val="24"/>
        </w:rPr>
        <w:t xml:space="preserve">A second community-defined public good came at the request of CSUSB faculty members who sought help incorporating </w:t>
      </w:r>
      <w:proofErr w:type="spellStart"/>
      <w:r>
        <w:rPr>
          <w:i/>
          <w:sz w:val="24"/>
          <w:szCs w:val="24"/>
        </w:rPr>
        <w:t>In|Dignity</w:t>
      </w:r>
      <w:proofErr w:type="spellEnd"/>
      <w:r>
        <w:rPr>
          <w:sz w:val="24"/>
          <w:szCs w:val="24"/>
        </w:rPr>
        <w:t xml:space="preserve"> into their courses. To address this request the second author, together with </w:t>
      </w:r>
      <w:r w:rsidR="00642F65">
        <w:rPr>
          <w:sz w:val="24"/>
          <w:szCs w:val="24"/>
        </w:rPr>
        <w:t xml:space="preserve">CSUSB </w:t>
      </w:r>
      <w:r>
        <w:rPr>
          <w:sz w:val="24"/>
          <w:szCs w:val="24"/>
        </w:rPr>
        <w:t>colleague Kelly Campbell (Psychology), created ‘concept cards.’</w:t>
      </w:r>
      <w:r w:rsidR="000D4B01">
        <w:rPr>
          <w:sz w:val="24"/>
          <w:szCs w:val="24"/>
        </w:rPr>
        <w:t xml:space="preserve"> </w:t>
      </w:r>
      <w:r>
        <w:rPr>
          <w:sz w:val="24"/>
          <w:szCs w:val="24"/>
        </w:rPr>
        <w:t xml:space="preserve">These double-sided, one-page handouts related exhibition content to current issues like immigration, disparities in the criminal justice system, and the ‘me too’ movement. Each card directed visitors to three narratives scattered throughout the exhibition, and asked a series of questions aimed at sparking class discussions. The concept cards also included advice from participants on how to promote equity, justice, fairness and kindness – for example, simple acts like ‘stepping outside of your daily routine’ </w:t>
      </w:r>
      <w:r w:rsidR="00A67D71">
        <w:rPr>
          <w:sz w:val="24"/>
          <w:szCs w:val="24"/>
        </w:rPr>
        <w:t xml:space="preserve">through </w:t>
      </w:r>
      <w:r>
        <w:rPr>
          <w:sz w:val="24"/>
          <w:szCs w:val="24"/>
        </w:rPr>
        <w:t xml:space="preserve">participation in community events, but also fighting to ‘level the field’ and protest injustices. </w:t>
      </w:r>
    </w:p>
    <w:p w14:paraId="3F3F612A" w14:textId="45ED0257" w:rsidR="00D47991" w:rsidRDefault="00DF3F80">
      <w:pPr>
        <w:spacing w:after="160" w:line="480" w:lineRule="auto"/>
        <w:jc w:val="both"/>
        <w:rPr>
          <w:sz w:val="24"/>
          <w:szCs w:val="24"/>
        </w:rPr>
      </w:pPr>
      <w:r>
        <w:rPr>
          <w:sz w:val="24"/>
          <w:szCs w:val="24"/>
        </w:rPr>
        <w:t xml:space="preserve">While we did not conduct a formal exhibition evaluation, </w:t>
      </w:r>
      <w:r w:rsidR="00AB4177">
        <w:rPr>
          <w:sz w:val="24"/>
          <w:szCs w:val="24"/>
        </w:rPr>
        <w:t xml:space="preserve">visitors left </w:t>
      </w:r>
      <w:r>
        <w:rPr>
          <w:sz w:val="24"/>
          <w:szCs w:val="24"/>
        </w:rPr>
        <w:t xml:space="preserve">613 messages in our comment book. The words ‘moving,’ ‘captivating’ and </w:t>
      </w:r>
      <w:r>
        <w:rPr>
          <w:sz w:val="24"/>
          <w:szCs w:val="24"/>
        </w:rPr>
        <w:lastRenderedPageBreak/>
        <w:t>‘inspirational’ are prominent throughout, with many visitors sharing more extensive feedback indicating the depth of their reactions. For example, ‘Perhaps the most powerful exhibit this University has hosted,’ ‘(This) display was an eye opener for me’ and ‘I’m deeply moved.’ One visitor remarked, ‘The museum really touched me. Reading through several stories made me realize the other struggles, problems, and experiences other humans have. All we need to do is unite as a community and appreciate each other’s differences and talents’ and another</w:t>
      </w:r>
      <w:r w:rsidR="00AB4177">
        <w:rPr>
          <w:sz w:val="24"/>
          <w:szCs w:val="24"/>
        </w:rPr>
        <w:t>:</w:t>
      </w:r>
      <w:r>
        <w:rPr>
          <w:sz w:val="24"/>
          <w:szCs w:val="24"/>
        </w:rPr>
        <w:t xml:space="preserve"> ‘Wow. This exhibit was empowering to say the least.’ Several community participants also left comments, including ‘So proud to have been part of this,’ ‘I’m incredibly grateful for this exhibit,’ and ‘Thank you for allowing us to have a voice among others.’ Two self-identifying museum professionals reflected on the effectiveness of the story-driven text </w:t>
      </w:r>
      <w:r w:rsidR="00642F65">
        <w:rPr>
          <w:sz w:val="24"/>
          <w:szCs w:val="24"/>
        </w:rPr>
        <w:t>for</w:t>
      </w:r>
      <w:r>
        <w:rPr>
          <w:sz w:val="24"/>
          <w:szCs w:val="24"/>
        </w:rPr>
        <w:t xml:space="preserve"> </w:t>
      </w:r>
      <w:r w:rsidR="008947FB">
        <w:rPr>
          <w:sz w:val="24"/>
          <w:szCs w:val="24"/>
        </w:rPr>
        <w:t>engaging</w:t>
      </w:r>
      <w:r>
        <w:rPr>
          <w:sz w:val="24"/>
          <w:szCs w:val="24"/>
        </w:rPr>
        <w:t xml:space="preserve"> visitors, one remarking ‘Even though the panels are text heavy, I want to read everything’ and the other ‘I found it captivating the way everyone featured embodies their story, and the impact they had on me as I read them was just amazing.’</w:t>
      </w:r>
    </w:p>
    <w:p w14:paraId="7D7F5222" w14:textId="6C2BAA21" w:rsidR="00D47991" w:rsidRDefault="00DF3F80">
      <w:pPr>
        <w:spacing w:after="160" w:line="480" w:lineRule="auto"/>
        <w:jc w:val="both"/>
        <w:rPr>
          <w:sz w:val="24"/>
          <w:szCs w:val="24"/>
        </w:rPr>
      </w:pPr>
      <w:r>
        <w:rPr>
          <w:sz w:val="24"/>
          <w:szCs w:val="24"/>
        </w:rPr>
        <w:t xml:space="preserve">Visitor comments also record an impact that we did not anticipate: a sense of </w:t>
      </w:r>
      <w:r w:rsidR="000D4B01">
        <w:rPr>
          <w:sz w:val="24"/>
          <w:szCs w:val="24"/>
        </w:rPr>
        <w:t>catharsis</w:t>
      </w:r>
      <w:r>
        <w:rPr>
          <w:sz w:val="24"/>
          <w:szCs w:val="24"/>
        </w:rPr>
        <w:t xml:space="preserve"> for those who went into </w:t>
      </w:r>
      <w:proofErr w:type="spellStart"/>
      <w:r>
        <w:rPr>
          <w:i/>
          <w:sz w:val="24"/>
          <w:szCs w:val="24"/>
        </w:rPr>
        <w:t>In|Dignity</w:t>
      </w:r>
      <w:proofErr w:type="spellEnd"/>
      <w:r>
        <w:rPr>
          <w:sz w:val="24"/>
          <w:szCs w:val="24"/>
        </w:rPr>
        <w:t xml:space="preserve"> feeling isolated. Toward the end of the exhibition’s run one visitor provocatively wrote, ‘I’ve been coming here for the past three weeks and if it [has] made me realize just one thing, it’s that I am not alone.’ Another visitor became emotional while viewing the exhibition. When approached by the first author (the museum director) the visitor explained that she had thought she was the only one in her situation (as an undocumented citizen facing harassment at work), but she </w:t>
      </w:r>
      <w:r w:rsidR="008C7E13">
        <w:rPr>
          <w:sz w:val="24"/>
          <w:szCs w:val="24"/>
        </w:rPr>
        <w:t>learned</w:t>
      </w:r>
      <w:r>
        <w:rPr>
          <w:sz w:val="24"/>
          <w:szCs w:val="24"/>
        </w:rPr>
        <w:t xml:space="preserve"> she was not. These anecdotes dovetail with observations by Annette Day (2006), whose oral-history </w:t>
      </w:r>
      <w:r>
        <w:rPr>
          <w:sz w:val="24"/>
          <w:szCs w:val="24"/>
        </w:rPr>
        <w:lastRenderedPageBreak/>
        <w:t xml:space="preserve">based exhibition on London refugees inspired visitors with a refugee background to feel belonging and pride. Such responses are of particular importance because the capacity for museum exhibitions to enable marginalized individuals to find solidarity and relief (rather than just representation) is not prominent in museums and social justice literature (but, see </w:t>
      </w:r>
      <w:proofErr w:type="spellStart"/>
      <w:r>
        <w:rPr>
          <w:sz w:val="24"/>
          <w:szCs w:val="24"/>
        </w:rPr>
        <w:t>Lonetree</w:t>
      </w:r>
      <w:proofErr w:type="spellEnd"/>
      <w:r>
        <w:rPr>
          <w:sz w:val="24"/>
          <w:szCs w:val="24"/>
        </w:rPr>
        <w:t xml:space="preserve"> 2012</w:t>
      </w:r>
      <w:r w:rsidR="008947FB">
        <w:rPr>
          <w:sz w:val="24"/>
          <w:szCs w:val="24"/>
        </w:rPr>
        <w:t xml:space="preserve">, who argues </w:t>
      </w:r>
      <w:r w:rsidR="00176B8C">
        <w:rPr>
          <w:sz w:val="24"/>
          <w:szCs w:val="24"/>
        </w:rPr>
        <w:t>that addressing painful aspects of history in museums can promote</w:t>
      </w:r>
      <w:r w:rsidR="0022019B">
        <w:rPr>
          <w:sz w:val="24"/>
          <w:szCs w:val="24"/>
        </w:rPr>
        <w:t xml:space="preserve"> community</w:t>
      </w:r>
      <w:r w:rsidR="00176B8C">
        <w:rPr>
          <w:sz w:val="24"/>
          <w:szCs w:val="24"/>
        </w:rPr>
        <w:t xml:space="preserve"> healing</w:t>
      </w:r>
      <w:r>
        <w:rPr>
          <w:sz w:val="24"/>
          <w:szCs w:val="24"/>
        </w:rPr>
        <w:t xml:space="preserve">). More attention is also needed to understand the potential power for storytelling-based exhibitions not just </w:t>
      </w:r>
      <w:r w:rsidR="008C7E13">
        <w:rPr>
          <w:sz w:val="24"/>
          <w:szCs w:val="24"/>
        </w:rPr>
        <w:t xml:space="preserve">to </w:t>
      </w:r>
      <w:r>
        <w:rPr>
          <w:sz w:val="24"/>
          <w:szCs w:val="24"/>
        </w:rPr>
        <w:t>represent communities, but also to create them (</w:t>
      </w:r>
      <w:proofErr w:type="spellStart"/>
      <w:r>
        <w:rPr>
          <w:sz w:val="24"/>
          <w:szCs w:val="24"/>
        </w:rPr>
        <w:t>Witcomb</w:t>
      </w:r>
      <w:proofErr w:type="spellEnd"/>
      <w:r>
        <w:rPr>
          <w:sz w:val="24"/>
          <w:szCs w:val="24"/>
        </w:rPr>
        <w:t xml:space="preserve"> 2007).</w:t>
      </w:r>
    </w:p>
    <w:p w14:paraId="187EE64E" w14:textId="622AB430" w:rsidR="00D47991" w:rsidRDefault="00DF3F80">
      <w:pPr>
        <w:spacing w:after="160" w:line="480" w:lineRule="auto"/>
        <w:jc w:val="both"/>
        <w:rPr>
          <w:sz w:val="24"/>
          <w:szCs w:val="24"/>
        </w:rPr>
      </w:pPr>
      <w:proofErr w:type="spellStart"/>
      <w:r>
        <w:rPr>
          <w:i/>
          <w:sz w:val="24"/>
          <w:szCs w:val="24"/>
        </w:rPr>
        <w:t>InDignity</w:t>
      </w:r>
      <w:proofErr w:type="spellEnd"/>
      <w:r>
        <w:rPr>
          <w:sz w:val="24"/>
          <w:szCs w:val="24"/>
        </w:rPr>
        <w:t xml:space="preserve"> exploded common, narrow ideas of ‘diversity’ that limit </w:t>
      </w:r>
      <w:r w:rsidR="008947FB">
        <w:rPr>
          <w:sz w:val="24"/>
          <w:szCs w:val="24"/>
        </w:rPr>
        <w:t xml:space="preserve">its </w:t>
      </w:r>
      <w:r>
        <w:rPr>
          <w:sz w:val="24"/>
          <w:szCs w:val="24"/>
        </w:rPr>
        <w:t xml:space="preserve">contours to race, gender, religion and sexuality. </w:t>
      </w:r>
      <w:proofErr w:type="spellStart"/>
      <w:r>
        <w:rPr>
          <w:i/>
          <w:sz w:val="24"/>
          <w:szCs w:val="24"/>
        </w:rPr>
        <w:t>In|Dignity</w:t>
      </w:r>
      <w:proofErr w:type="spellEnd"/>
      <w:r>
        <w:rPr>
          <w:sz w:val="24"/>
          <w:szCs w:val="24"/>
        </w:rPr>
        <w:t xml:space="preserve"> narratives do </w:t>
      </w:r>
      <w:r w:rsidR="008C7E13">
        <w:rPr>
          <w:sz w:val="24"/>
          <w:szCs w:val="24"/>
        </w:rPr>
        <w:t>address</w:t>
      </w:r>
      <w:r>
        <w:rPr>
          <w:sz w:val="24"/>
          <w:szCs w:val="24"/>
        </w:rPr>
        <w:t xml:space="preserve"> these themes, but they also explore class, ableism, </w:t>
      </w:r>
      <w:proofErr w:type="spellStart"/>
      <w:r>
        <w:rPr>
          <w:sz w:val="24"/>
          <w:szCs w:val="24"/>
        </w:rPr>
        <w:t>cisgenderism</w:t>
      </w:r>
      <w:proofErr w:type="spellEnd"/>
      <w:r>
        <w:rPr>
          <w:sz w:val="24"/>
          <w:szCs w:val="24"/>
        </w:rPr>
        <w:t xml:space="preserve">, </w:t>
      </w:r>
      <w:proofErr w:type="spellStart"/>
      <w:r>
        <w:rPr>
          <w:sz w:val="24"/>
          <w:szCs w:val="24"/>
        </w:rPr>
        <w:t>pronatalism</w:t>
      </w:r>
      <w:proofErr w:type="spellEnd"/>
      <w:r>
        <w:rPr>
          <w:sz w:val="24"/>
          <w:szCs w:val="24"/>
        </w:rPr>
        <w:t xml:space="preserve">, weightism, urban-rural tensions, the model minority myth, multiracial identities, discrimination within the </w:t>
      </w:r>
      <w:proofErr w:type="spellStart"/>
      <w:r>
        <w:rPr>
          <w:sz w:val="24"/>
          <w:szCs w:val="24"/>
        </w:rPr>
        <w:t>LGBT</w:t>
      </w:r>
      <w:proofErr w:type="spellEnd"/>
      <w:r>
        <w:rPr>
          <w:sz w:val="24"/>
          <w:szCs w:val="24"/>
        </w:rPr>
        <w:t xml:space="preserve"> community against </w:t>
      </w:r>
      <w:proofErr w:type="spellStart"/>
      <w:r>
        <w:rPr>
          <w:sz w:val="24"/>
          <w:szCs w:val="24"/>
        </w:rPr>
        <w:t>BIPOC</w:t>
      </w:r>
      <w:proofErr w:type="spellEnd"/>
      <w:r>
        <w:rPr>
          <w:sz w:val="24"/>
          <w:szCs w:val="24"/>
        </w:rPr>
        <w:t xml:space="preserve">, the role of language in Hispanic identity, tensions in the black community between those born in Africa and in the diaspora, struggles to trace heritage for access to and acceptance within Native American communities, transgender experiences, modern slavery, child abuse, and marginalization due to teen pregnancy, mental health, homelessness, and former incarceration. By eliciting and presenting individual biographies in a way that highlighted rather than truncated the uniqueness and the intersectionality of identities, and by illustrating ways in which perceived and actual differences impact opportunities and experiences in distinct but overlapping ways, </w:t>
      </w:r>
      <w:proofErr w:type="spellStart"/>
      <w:r>
        <w:rPr>
          <w:i/>
          <w:sz w:val="24"/>
          <w:szCs w:val="24"/>
        </w:rPr>
        <w:t>In|Dignity</w:t>
      </w:r>
      <w:proofErr w:type="spellEnd"/>
      <w:r>
        <w:rPr>
          <w:i/>
          <w:sz w:val="24"/>
          <w:szCs w:val="24"/>
        </w:rPr>
        <w:t xml:space="preserve"> </w:t>
      </w:r>
      <w:r>
        <w:rPr>
          <w:sz w:val="24"/>
          <w:szCs w:val="24"/>
        </w:rPr>
        <w:t xml:space="preserve">forced the expansion of simplistic notions of </w:t>
      </w:r>
      <w:r>
        <w:rPr>
          <w:sz w:val="24"/>
          <w:szCs w:val="24"/>
        </w:rPr>
        <w:lastRenderedPageBreak/>
        <w:t xml:space="preserve">‘diversity’ and showcased the radical potential of museums working with </w:t>
      </w:r>
      <w:r>
        <w:rPr>
          <w:i/>
          <w:sz w:val="24"/>
          <w:szCs w:val="24"/>
        </w:rPr>
        <w:t xml:space="preserve">the </w:t>
      </w:r>
      <w:r w:rsidR="00621B33">
        <w:rPr>
          <w:sz w:val="24"/>
          <w:szCs w:val="24"/>
        </w:rPr>
        <w:t>community - their community</w:t>
      </w:r>
      <w:r w:rsidR="00A67D71">
        <w:rPr>
          <w:sz w:val="24"/>
          <w:szCs w:val="24"/>
        </w:rPr>
        <w:t xml:space="preserve"> – to </w:t>
      </w:r>
      <w:r w:rsidR="0022019B">
        <w:rPr>
          <w:sz w:val="24"/>
          <w:szCs w:val="24"/>
        </w:rPr>
        <w:t xml:space="preserve">facilitate </w:t>
      </w:r>
      <w:r w:rsidR="00A67D71">
        <w:rPr>
          <w:sz w:val="24"/>
          <w:szCs w:val="24"/>
        </w:rPr>
        <w:t xml:space="preserve">storytelling and story listening. </w:t>
      </w:r>
      <w:r>
        <w:rPr>
          <w:sz w:val="24"/>
          <w:szCs w:val="24"/>
        </w:rPr>
        <w:t xml:space="preserve"> </w:t>
      </w:r>
    </w:p>
    <w:p w14:paraId="5755ECDE" w14:textId="77777777" w:rsidR="00D47991" w:rsidRDefault="00DF3F80">
      <w:pPr>
        <w:pStyle w:val="Heading1"/>
        <w:spacing w:before="0" w:after="160" w:line="480" w:lineRule="auto"/>
        <w:jc w:val="both"/>
        <w:rPr>
          <w:u w:val="none"/>
        </w:rPr>
      </w:pPr>
      <w:bookmarkStart w:id="30" w:name="_heading=h.tyjcwt" w:colFirst="0" w:colLast="0"/>
      <w:bookmarkEnd w:id="30"/>
      <w:r>
        <w:rPr>
          <w:u w:val="none"/>
        </w:rPr>
        <w:t>Challenges and Reflections</w:t>
      </w:r>
    </w:p>
    <w:p w14:paraId="166CD2C6" w14:textId="269719E1" w:rsidR="00D47991" w:rsidRDefault="00DF3F80">
      <w:pPr>
        <w:spacing w:after="160" w:line="480" w:lineRule="auto"/>
        <w:jc w:val="both"/>
        <w:rPr>
          <w:sz w:val="24"/>
          <w:szCs w:val="24"/>
        </w:rPr>
      </w:pPr>
      <w:r>
        <w:rPr>
          <w:sz w:val="24"/>
          <w:szCs w:val="24"/>
        </w:rPr>
        <w:t xml:space="preserve">In this project we had many successes </w:t>
      </w:r>
      <w:r w:rsidR="00621B33">
        <w:rPr>
          <w:sz w:val="24"/>
          <w:szCs w:val="24"/>
        </w:rPr>
        <w:t>-</w:t>
      </w:r>
      <w:r>
        <w:rPr>
          <w:sz w:val="24"/>
          <w:szCs w:val="24"/>
        </w:rPr>
        <w:t xml:space="preserve"> measured anecdotally by the shared curatorial authority of our participants, the time visitors spent reading unusually long texts, the emotional outpouring in our comment book and community requests for public goods. There were also challenges, which we discuss with the intention of </w:t>
      </w:r>
      <w:r w:rsidR="008947FB">
        <w:rPr>
          <w:sz w:val="24"/>
          <w:szCs w:val="24"/>
        </w:rPr>
        <w:t xml:space="preserve">providing </w:t>
      </w:r>
      <w:r>
        <w:rPr>
          <w:sz w:val="24"/>
          <w:szCs w:val="24"/>
        </w:rPr>
        <w:t xml:space="preserve">transparency, self-reflection, and insights for those who wish to take on similar narrative-based social justice curatorial projects. </w:t>
      </w:r>
    </w:p>
    <w:p w14:paraId="67DEAC67" w14:textId="37E7CA8A" w:rsidR="00D47991" w:rsidRDefault="00DF3F80">
      <w:pPr>
        <w:spacing w:after="160" w:line="480" w:lineRule="auto"/>
        <w:jc w:val="both"/>
        <w:rPr>
          <w:sz w:val="24"/>
          <w:szCs w:val="24"/>
        </w:rPr>
      </w:pPr>
      <w:r>
        <w:rPr>
          <w:sz w:val="24"/>
          <w:szCs w:val="24"/>
        </w:rPr>
        <w:t xml:space="preserve">One of the biggest challenges of </w:t>
      </w:r>
      <w:proofErr w:type="spellStart"/>
      <w:r>
        <w:rPr>
          <w:i/>
          <w:sz w:val="24"/>
          <w:szCs w:val="24"/>
        </w:rPr>
        <w:t>In|Dignity</w:t>
      </w:r>
      <w:proofErr w:type="spellEnd"/>
      <w:r>
        <w:rPr>
          <w:i/>
          <w:sz w:val="24"/>
          <w:szCs w:val="24"/>
        </w:rPr>
        <w:t xml:space="preserve"> </w:t>
      </w:r>
      <w:r>
        <w:rPr>
          <w:sz w:val="24"/>
          <w:szCs w:val="24"/>
        </w:rPr>
        <w:t>was our academic affiliation. Regardless of how intentionally we attempted to share curatorial authority with participants, the letters ‘PhD’ in</w:t>
      </w:r>
      <w:r w:rsidR="008947FB">
        <w:rPr>
          <w:sz w:val="24"/>
          <w:szCs w:val="24"/>
        </w:rPr>
        <w:t>timidate many</w:t>
      </w:r>
      <w:r>
        <w:rPr>
          <w:sz w:val="24"/>
          <w:szCs w:val="24"/>
        </w:rPr>
        <w:t xml:space="preserve">. Thus, while we would like to imagine that few participants requested substantive changes to their narratives because our methods effectively enabled participant-driven stories, societal dynamics would suggest that our degrees and faculty positions may have (also) played into an inherent power imbalance. This challenge is not easily remedied, but we attempted to counterbalance it through handing over editing rights and maintaining participants’ rights to withdraw in perpetuity. </w:t>
      </w:r>
    </w:p>
    <w:p w14:paraId="6488C747" w14:textId="2E8CE5F9" w:rsidR="00D47991" w:rsidRDefault="00DF3F80">
      <w:pPr>
        <w:spacing w:after="160" w:line="480" w:lineRule="auto"/>
        <w:jc w:val="both"/>
        <w:rPr>
          <w:sz w:val="24"/>
          <w:szCs w:val="24"/>
        </w:rPr>
      </w:pPr>
      <w:r>
        <w:rPr>
          <w:sz w:val="24"/>
          <w:szCs w:val="24"/>
        </w:rPr>
        <w:t xml:space="preserve">In retrospect, another option would have been to let </w:t>
      </w:r>
      <w:r w:rsidR="008C7E13">
        <w:rPr>
          <w:sz w:val="24"/>
          <w:szCs w:val="24"/>
        </w:rPr>
        <w:t xml:space="preserve">participants </w:t>
      </w:r>
      <w:r>
        <w:rPr>
          <w:sz w:val="24"/>
          <w:szCs w:val="24"/>
        </w:rPr>
        <w:t xml:space="preserve">take the lead with every step, including the process of thematic development and composition of text panels. While an aspirational ideal, </w:t>
      </w:r>
      <w:r w:rsidR="008947FB">
        <w:rPr>
          <w:sz w:val="24"/>
          <w:szCs w:val="24"/>
        </w:rPr>
        <w:t xml:space="preserve">this </w:t>
      </w:r>
      <w:r>
        <w:rPr>
          <w:sz w:val="24"/>
          <w:szCs w:val="24"/>
        </w:rPr>
        <w:t xml:space="preserve">more extensive community involvement </w:t>
      </w:r>
      <w:r w:rsidR="008947FB">
        <w:rPr>
          <w:sz w:val="24"/>
          <w:szCs w:val="24"/>
        </w:rPr>
        <w:t xml:space="preserve">might </w:t>
      </w:r>
      <w:r>
        <w:rPr>
          <w:sz w:val="24"/>
          <w:szCs w:val="24"/>
        </w:rPr>
        <w:t xml:space="preserve">also </w:t>
      </w:r>
      <w:r w:rsidR="008947FB">
        <w:rPr>
          <w:sz w:val="24"/>
          <w:szCs w:val="24"/>
        </w:rPr>
        <w:t xml:space="preserve">have </w:t>
      </w:r>
      <w:r>
        <w:rPr>
          <w:sz w:val="24"/>
          <w:szCs w:val="24"/>
        </w:rPr>
        <w:t xml:space="preserve">deterred participation, especially from individuals with time and financial constraints and limited access to transportation. We also </w:t>
      </w:r>
      <w:r>
        <w:rPr>
          <w:sz w:val="24"/>
          <w:szCs w:val="24"/>
        </w:rPr>
        <w:lastRenderedPageBreak/>
        <w:t>note that in museum-community collaborations, those individuals who</w:t>
      </w:r>
      <w:r w:rsidR="008947FB">
        <w:rPr>
          <w:sz w:val="24"/>
          <w:szCs w:val="24"/>
        </w:rPr>
        <w:t>m</w:t>
      </w:r>
      <w:r>
        <w:rPr>
          <w:sz w:val="24"/>
          <w:szCs w:val="24"/>
        </w:rPr>
        <w:t xml:space="preserve"> we ask to share their knowledge, who</w:t>
      </w:r>
      <w:r w:rsidR="008947FB">
        <w:rPr>
          <w:sz w:val="24"/>
          <w:szCs w:val="24"/>
        </w:rPr>
        <w:t>m</w:t>
      </w:r>
      <w:r>
        <w:rPr>
          <w:sz w:val="24"/>
          <w:szCs w:val="24"/>
        </w:rPr>
        <w:t xml:space="preserve"> we invite to participate as co-researchers, who</w:t>
      </w:r>
      <w:r w:rsidR="008947FB">
        <w:rPr>
          <w:sz w:val="24"/>
          <w:szCs w:val="24"/>
        </w:rPr>
        <w:t>m</w:t>
      </w:r>
      <w:r>
        <w:rPr>
          <w:sz w:val="24"/>
          <w:szCs w:val="24"/>
        </w:rPr>
        <w:t xml:space="preserve"> we train as a point of capacity building and who</w:t>
      </w:r>
      <w:r w:rsidR="008947FB">
        <w:rPr>
          <w:sz w:val="24"/>
          <w:szCs w:val="24"/>
        </w:rPr>
        <w:t>m</w:t>
      </w:r>
      <w:r>
        <w:rPr>
          <w:sz w:val="24"/>
          <w:szCs w:val="24"/>
        </w:rPr>
        <w:t xml:space="preserve"> we listen to when defining public goods, all repr</w:t>
      </w:r>
      <w:r w:rsidR="00FB2795">
        <w:rPr>
          <w:sz w:val="24"/>
          <w:szCs w:val="24"/>
        </w:rPr>
        <w:t>esent ‘the community,’ together and</w:t>
      </w:r>
      <w:r>
        <w:rPr>
          <w:sz w:val="24"/>
          <w:szCs w:val="24"/>
        </w:rPr>
        <w:t xml:space="preserve"> collaboratively, even where the</w:t>
      </w:r>
      <w:r w:rsidR="00FB2795">
        <w:rPr>
          <w:sz w:val="24"/>
          <w:szCs w:val="24"/>
        </w:rPr>
        <w:t>se</w:t>
      </w:r>
      <w:r>
        <w:rPr>
          <w:sz w:val="24"/>
          <w:szCs w:val="24"/>
        </w:rPr>
        <w:t xml:space="preserve"> circles of participants do not fully overlap. In our case involving over 300 students</w:t>
      </w:r>
      <w:r w:rsidR="008947FB">
        <w:rPr>
          <w:sz w:val="24"/>
          <w:szCs w:val="24"/>
        </w:rPr>
        <w:t xml:space="preserve"> at a public university that draws from a broad variety of social groups</w:t>
      </w:r>
      <w:r>
        <w:rPr>
          <w:sz w:val="24"/>
          <w:szCs w:val="24"/>
        </w:rPr>
        <w:t xml:space="preserve"> was the </w:t>
      </w:r>
      <w:r w:rsidR="00FB2795">
        <w:rPr>
          <w:sz w:val="24"/>
          <w:szCs w:val="24"/>
        </w:rPr>
        <w:t>form of capacity building that best m</w:t>
      </w:r>
      <w:r>
        <w:rPr>
          <w:sz w:val="24"/>
          <w:szCs w:val="24"/>
        </w:rPr>
        <w:t xml:space="preserve">et our institution’s educational mission. </w:t>
      </w:r>
      <w:r w:rsidR="0022019B">
        <w:rPr>
          <w:sz w:val="24"/>
          <w:szCs w:val="24"/>
        </w:rPr>
        <w:t>However, in</w:t>
      </w:r>
      <w:r w:rsidR="00642F65">
        <w:rPr>
          <w:sz w:val="24"/>
          <w:szCs w:val="24"/>
        </w:rPr>
        <w:t xml:space="preserve"> retrospect we wish that we would have more deliberately prioritized the development of community-defined public goods</w:t>
      </w:r>
      <w:r w:rsidR="0032302B">
        <w:rPr>
          <w:sz w:val="24"/>
          <w:szCs w:val="24"/>
        </w:rPr>
        <w:t>.</w:t>
      </w:r>
    </w:p>
    <w:p w14:paraId="6E51E327" w14:textId="0BA615AE" w:rsidR="00D47991" w:rsidRDefault="00DF3F80">
      <w:pPr>
        <w:spacing w:after="160" w:line="480" w:lineRule="auto"/>
        <w:jc w:val="both"/>
        <w:rPr>
          <w:sz w:val="24"/>
          <w:szCs w:val="24"/>
          <w:highlight w:val="white"/>
        </w:rPr>
      </w:pPr>
      <w:r>
        <w:rPr>
          <w:sz w:val="24"/>
          <w:szCs w:val="24"/>
        </w:rPr>
        <w:t xml:space="preserve">Another challenge was determining how to tell stories that centred on painful experiences while </w:t>
      </w:r>
      <w:r w:rsidR="00A67D71">
        <w:rPr>
          <w:sz w:val="24"/>
          <w:szCs w:val="24"/>
        </w:rPr>
        <w:t>also recognizing</w:t>
      </w:r>
      <w:r>
        <w:rPr>
          <w:sz w:val="24"/>
          <w:szCs w:val="24"/>
        </w:rPr>
        <w:t xml:space="preserve"> the potential for offending visitors with explicit content. Overstimulating visitors with upsetting and difficult information can lead to desensitization (Nielson and Bader 2017)</w:t>
      </w:r>
      <w:r w:rsidR="008C1218">
        <w:rPr>
          <w:sz w:val="24"/>
          <w:szCs w:val="24"/>
        </w:rPr>
        <w:t xml:space="preserve"> or rejection of the</w:t>
      </w:r>
      <w:r w:rsidR="00642F65">
        <w:rPr>
          <w:sz w:val="24"/>
          <w:szCs w:val="24"/>
        </w:rPr>
        <w:t xml:space="preserve"> information</w:t>
      </w:r>
      <w:r>
        <w:rPr>
          <w:sz w:val="24"/>
          <w:szCs w:val="24"/>
        </w:rPr>
        <w:t>, and whe</w:t>
      </w:r>
      <w:r w:rsidR="008C7E13">
        <w:rPr>
          <w:sz w:val="24"/>
          <w:szCs w:val="24"/>
        </w:rPr>
        <w:t>n</w:t>
      </w:r>
      <w:r>
        <w:rPr>
          <w:sz w:val="24"/>
          <w:szCs w:val="24"/>
        </w:rPr>
        <w:t xml:space="preserve"> those who identify with oppressors feel attacked, the educational</w:t>
      </w:r>
      <w:r>
        <w:rPr>
          <w:sz w:val="24"/>
          <w:szCs w:val="24"/>
          <w:highlight w:val="white"/>
        </w:rPr>
        <w:t xml:space="preserve"> purpose of an exhibition can be lost (</w:t>
      </w:r>
      <w:proofErr w:type="spellStart"/>
      <w:r>
        <w:rPr>
          <w:sz w:val="24"/>
          <w:szCs w:val="24"/>
          <w:highlight w:val="white"/>
        </w:rPr>
        <w:t>Cavness</w:t>
      </w:r>
      <w:proofErr w:type="spellEnd"/>
      <w:r>
        <w:rPr>
          <w:sz w:val="24"/>
          <w:szCs w:val="24"/>
          <w:highlight w:val="white"/>
        </w:rPr>
        <w:t xml:space="preserve"> 2019). </w:t>
      </w:r>
      <w:r>
        <w:rPr>
          <w:sz w:val="24"/>
          <w:szCs w:val="24"/>
        </w:rPr>
        <w:t>We were thus mindful of crafting an experience that would</w:t>
      </w:r>
      <w:r>
        <w:rPr>
          <w:sz w:val="24"/>
          <w:szCs w:val="24"/>
          <w:highlight w:val="white"/>
        </w:rPr>
        <w:t xml:space="preserve"> make people feel uncomfortable, but without putting them on the offensive. This was achieved, in part, by including experiences of a broad range of participants, and highlighting the realities of intragroup as well as inter-group discrimination. The exhibition design also allowed for meandering (rather than a designated path)</w:t>
      </w:r>
      <w:r w:rsidR="0032302B">
        <w:rPr>
          <w:sz w:val="24"/>
          <w:szCs w:val="24"/>
          <w:highlight w:val="white"/>
        </w:rPr>
        <w:t>, and a</w:t>
      </w:r>
      <w:r w:rsidR="008C7E13">
        <w:rPr>
          <w:sz w:val="24"/>
          <w:szCs w:val="24"/>
          <w:highlight w:val="white"/>
        </w:rPr>
        <w:t>mple lighting and muted colours</w:t>
      </w:r>
      <w:r w:rsidR="008C7E13" w:rsidDel="008C7E13">
        <w:rPr>
          <w:sz w:val="24"/>
          <w:szCs w:val="24"/>
          <w:highlight w:val="white"/>
        </w:rPr>
        <w:t xml:space="preserve"> </w:t>
      </w:r>
      <w:r w:rsidR="008C1218">
        <w:rPr>
          <w:sz w:val="24"/>
          <w:szCs w:val="24"/>
          <w:highlight w:val="white"/>
        </w:rPr>
        <w:t>helped</w:t>
      </w:r>
      <w:r w:rsidR="0022019B">
        <w:rPr>
          <w:sz w:val="24"/>
          <w:szCs w:val="24"/>
          <w:highlight w:val="white"/>
        </w:rPr>
        <w:t xml:space="preserve"> to make</w:t>
      </w:r>
      <w:r w:rsidR="008C1218">
        <w:rPr>
          <w:sz w:val="24"/>
          <w:szCs w:val="24"/>
          <w:highlight w:val="white"/>
        </w:rPr>
        <w:t xml:space="preserve"> the exhibition</w:t>
      </w:r>
      <w:r>
        <w:rPr>
          <w:sz w:val="24"/>
          <w:szCs w:val="24"/>
          <w:highlight w:val="white"/>
        </w:rPr>
        <w:t xml:space="preserve"> approachable. </w:t>
      </w:r>
    </w:p>
    <w:p w14:paraId="568452BE" w14:textId="52FC7254" w:rsidR="00D47991" w:rsidRDefault="008947FB">
      <w:pPr>
        <w:spacing w:after="160" w:line="480" w:lineRule="auto"/>
        <w:jc w:val="both"/>
        <w:rPr>
          <w:sz w:val="24"/>
          <w:szCs w:val="24"/>
        </w:rPr>
      </w:pPr>
      <w:r>
        <w:rPr>
          <w:sz w:val="24"/>
          <w:szCs w:val="24"/>
          <w:highlight w:val="white"/>
        </w:rPr>
        <w:t>C</w:t>
      </w:r>
      <w:r w:rsidR="00DF3F80">
        <w:rPr>
          <w:sz w:val="24"/>
          <w:szCs w:val="24"/>
          <w:highlight w:val="white"/>
        </w:rPr>
        <w:t>ertain visitors felt excluded</w:t>
      </w:r>
      <w:r>
        <w:rPr>
          <w:sz w:val="24"/>
          <w:szCs w:val="24"/>
          <w:highlight w:val="white"/>
        </w:rPr>
        <w:t xml:space="preserve"> nevertheless</w:t>
      </w:r>
      <w:r w:rsidR="00DF3F80">
        <w:rPr>
          <w:sz w:val="24"/>
          <w:szCs w:val="24"/>
          <w:highlight w:val="white"/>
        </w:rPr>
        <w:t xml:space="preserve">. One openly complained to museum staff about </w:t>
      </w:r>
      <w:r>
        <w:rPr>
          <w:sz w:val="24"/>
          <w:szCs w:val="24"/>
          <w:highlight w:val="white"/>
        </w:rPr>
        <w:t xml:space="preserve">the </w:t>
      </w:r>
      <w:r w:rsidR="00DF3F80">
        <w:rPr>
          <w:sz w:val="24"/>
          <w:szCs w:val="24"/>
          <w:highlight w:val="white"/>
        </w:rPr>
        <w:t xml:space="preserve">underrepresentation of </w:t>
      </w:r>
      <w:r w:rsidR="00642F65">
        <w:rPr>
          <w:sz w:val="24"/>
          <w:szCs w:val="24"/>
          <w:highlight w:val="white"/>
        </w:rPr>
        <w:t xml:space="preserve">individuals excluded from opportunities because of their </w:t>
      </w:r>
      <w:r w:rsidR="00DF3F80">
        <w:rPr>
          <w:sz w:val="24"/>
          <w:szCs w:val="24"/>
          <w:highlight w:val="white"/>
        </w:rPr>
        <w:t>conservative values</w:t>
      </w:r>
      <w:r w:rsidR="00642F65">
        <w:rPr>
          <w:sz w:val="24"/>
          <w:szCs w:val="24"/>
          <w:highlight w:val="white"/>
        </w:rPr>
        <w:t xml:space="preserve"> (sometimes referred to as “cancel culture”)</w:t>
      </w:r>
      <w:r w:rsidR="00DF3F80">
        <w:rPr>
          <w:sz w:val="24"/>
          <w:szCs w:val="24"/>
          <w:highlight w:val="white"/>
        </w:rPr>
        <w:t xml:space="preserve">. </w:t>
      </w:r>
      <w:r w:rsidR="00DF3F80">
        <w:rPr>
          <w:sz w:val="24"/>
          <w:szCs w:val="24"/>
          <w:highlight w:val="white"/>
        </w:rPr>
        <w:lastRenderedPageBreak/>
        <w:t xml:space="preserve">A fair point, </w:t>
      </w:r>
      <w:r w:rsidR="00DF3F80">
        <w:rPr>
          <w:sz w:val="24"/>
          <w:szCs w:val="24"/>
        </w:rPr>
        <w:t xml:space="preserve">as museums are democratic public spaces where meanings are meant to be exchanged and negotiated (Giroux 2001), and centring counter-narratives does not demand exclusion of </w:t>
      </w:r>
      <w:r w:rsidR="00A67D71">
        <w:rPr>
          <w:sz w:val="24"/>
          <w:szCs w:val="24"/>
        </w:rPr>
        <w:t>other</w:t>
      </w:r>
      <w:r w:rsidR="00DF3F80">
        <w:rPr>
          <w:sz w:val="24"/>
          <w:szCs w:val="24"/>
        </w:rPr>
        <w:t xml:space="preserve"> perspectives. </w:t>
      </w:r>
      <w:r w:rsidR="00DF3F80">
        <w:rPr>
          <w:sz w:val="24"/>
          <w:szCs w:val="24"/>
          <w:highlight w:val="white"/>
        </w:rPr>
        <w:t xml:space="preserve">This particular confrontation could have perhaps been deescalated with more grace had we made a stronger effort to recruit individuals </w:t>
      </w:r>
      <w:r w:rsidR="0022019B">
        <w:rPr>
          <w:sz w:val="24"/>
          <w:szCs w:val="24"/>
          <w:highlight w:val="white"/>
        </w:rPr>
        <w:t xml:space="preserve">with conservative values </w:t>
      </w:r>
      <w:r w:rsidR="00DF3F80">
        <w:rPr>
          <w:sz w:val="24"/>
          <w:szCs w:val="24"/>
          <w:highlight w:val="white"/>
        </w:rPr>
        <w:t>as participants or developed a statement on the politics of inclusion and exclusion that offered an explanation of our decision otherwise.</w:t>
      </w:r>
      <w:r w:rsidR="00DF3F80">
        <w:rPr>
          <w:sz w:val="24"/>
          <w:szCs w:val="24"/>
        </w:rPr>
        <w:t xml:space="preserve"> We </w:t>
      </w:r>
      <w:r w:rsidR="00A67D71">
        <w:rPr>
          <w:sz w:val="24"/>
          <w:szCs w:val="24"/>
        </w:rPr>
        <w:t xml:space="preserve">acknowledge </w:t>
      </w:r>
      <w:r w:rsidR="00DF3F80">
        <w:rPr>
          <w:sz w:val="24"/>
          <w:szCs w:val="24"/>
        </w:rPr>
        <w:t xml:space="preserve">that presenting this exhibition at a university museum, where academic freedoms are generally respected, afforded us </w:t>
      </w:r>
      <w:r w:rsidR="0022019B">
        <w:rPr>
          <w:sz w:val="24"/>
          <w:szCs w:val="24"/>
        </w:rPr>
        <w:t xml:space="preserve">a </w:t>
      </w:r>
      <w:r w:rsidR="00DF3F80">
        <w:rPr>
          <w:sz w:val="24"/>
          <w:szCs w:val="24"/>
        </w:rPr>
        <w:t>capacity to not worry very much about ‘whose sensibilities we may offend’ (Adams 2017)</w:t>
      </w:r>
      <w:r w:rsidR="0022019B">
        <w:rPr>
          <w:sz w:val="24"/>
          <w:szCs w:val="24"/>
        </w:rPr>
        <w:t>, which not all museums can do</w:t>
      </w:r>
      <w:r w:rsidR="00DF3F80">
        <w:rPr>
          <w:sz w:val="24"/>
          <w:szCs w:val="24"/>
        </w:rPr>
        <w:t xml:space="preserve">. </w:t>
      </w:r>
    </w:p>
    <w:p w14:paraId="2D671B5E" w14:textId="4CA95573" w:rsidR="00D47991" w:rsidRDefault="00DF3F80">
      <w:pPr>
        <w:spacing w:after="160" w:line="480" w:lineRule="auto"/>
        <w:jc w:val="both"/>
        <w:rPr>
          <w:sz w:val="24"/>
          <w:szCs w:val="24"/>
        </w:rPr>
      </w:pPr>
      <w:r>
        <w:rPr>
          <w:sz w:val="24"/>
          <w:szCs w:val="24"/>
        </w:rPr>
        <w:t xml:space="preserve">We were also slow to take up the mantle of formal exhibition evaluation, and here we are certainly not alone. While museums typically judge the success of exhibitions through surveys, ticket sales, and exit interviews (Ellis 1995; </w:t>
      </w:r>
      <w:proofErr w:type="spellStart"/>
      <w:r>
        <w:rPr>
          <w:sz w:val="24"/>
          <w:szCs w:val="24"/>
        </w:rPr>
        <w:t>Serrell</w:t>
      </w:r>
      <w:proofErr w:type="spellEnd"/>
      <w:r>
        <w:rPr>
          <w:sz w:val="24"/>
          <w:szCs w:val="24"/>
        </w:rPr>
        <w:t xml:space="preserve"> 1997: 109), these instruments are woefully inadequate for measuring </w:t>
      </w:r>
      <w:r w:rsidR="00642F65">
        <w:rPr>
          <w:sz w:val="24"/>
          <w:szCs w:val="24"/>
        </w:rPr>
        <w:t xml:space="preserve">the </w:t>
      </w:r>
      <w:r w:rsidR="008947FB">
        <w:rPr>
          <w:sz w:val="24"/>
          <w:szCs w:val="24"/>
        </w:rPr>
        <w:t>emotional</w:t>
      </w:r>
      <w:r>
        <w:rPr>
          <w:sz w:val="24"/>
          <w:szCs w:val="24"/>
        </w:rPr>
        <w:t xml:space="preserve"> responses, attitudinal shifts, and sense of empowerment desired from many affective, collaborative, and community-based exhibitions (</w:t>
      </w:r>
      <w:proofErr w:type="spellStart"/>
      <w:r>
        <w:rPr>
          <w:sz w:val="24"/>
          <w:szCs w:val="24"/>
        </w:rPr>
        <w:t>Sandell</w:t>
      </w:r>
      <w:proofErr w:type="spellEnd"/>
      <w:r>
        <w:rPr>
          <w:sz w:val="24"/>
          <w:szCs w:val="24"/>
        </w:rPr>
        <w:t xml:space="preserve"> 2007; Hooper-Greenhill 2008) as well as gauging whether such effects endure (</w:t>
      </w:r>
      <w:proofErr w:type="spellStart"/>
      <w:r>
        <w:rPr>
          <w:sz w:val="24"/>
          <w:szCs w:val="24"/>
        </w:rPr>
        <w:t>Gokcigdem</w:t>
      </w:r>
      <w:proofErr w:type="spellEnd"/>
      <w:r>
        <w:rPr>
          <w:sz w:val="24"/>
          <w:szCs w:val="24"/>
        </w:rPr>
        <w:t xml:space="preserve"> 2016: 128). Even where visitors </w:t>
      </w:r>
      <w:r w:rsidR="0022019B">
        <w:rPr>
          <w:sz w:val="24"/>
          <w:szCs w:val="24"/>
        </w:rPr>
        <w:t xml:space="preserve">describe </w:t>
      </w:r>
      <w:r>
        <w:rPr>
          <w:sz w:val="24"/>
          <w:szCs w:val="24"/>
        </w:rPr>
        <w:t xml:space="preserve">a personal impact, scholars (e.g. Westheimer and </w:t>
      </w:r>
      <w:proofErr w:type="spellStart"/>
      <w:r>
        <w:rPr>
          <w:sz w:val="24"/>
          <w:szCs w:val="24"/>
        </w:rPr>
        <w:t>Kahne</w:t>
      </w:r>
      <w:proofErr w:type="spellEnd"/>
      <w:r>
        <w:rPr>
          <w:sz w:val="24"/>
          <w:szCs w:val="24"/>
        </w:rPr>
        <w:t xml:space="preserve"> 2004) note that </w:t>
      </w:r>
      <w:r w:rsidR="0022019B">
        <w:rPr>
          <w:sz w:val="24"/>
          <w:szCs w:val="24"/>
        </w:rPr>
        <w:t>such self-reporting</w:t>
      </w:r>
      <w:r>
        <w:rPr>
          <w:sz w:val="24"/>
          <w:szCs w:val="24"/>
        </w:rPr>
        <w:t xml:space="preserve"> does not guarantee either the motivation or the capacity to act. The true </w:t>
      </w:r>
      <w:r w:rsidR="0022019B">
        <w:rPr>
          <w:sz w:val="24"/>
          <w:szCs w:val="24"/>
        </w:rPr>
        <w:t xml:space="preserve">effects </w:t>
      </w:r>
      <w:r>
        <w:rPr>
          <w:sz w:val="24"/>
          <w:szCs w:val="24"/>
        </w:rPr>
        <w:t>of social justice exhibitions are likely to be more effectively measured through longitudinal studies, which museums, to date, have not been adept at designing or pursuing (</w:t>
      </w:r>
      <w:proofErr w:type="spellStart"/>
      <w:r>
        <w:rPr>
          <w:sz w:val="24"/>
          <w:szCs w:val="24"/>
        </w:rPr>
        <w:t>Gokcigdem</w:t>
      </w:r>
      <w:proofErr w:type="spellEnd"/>
      <w:r>
        <w:rPr>
          <w:sz w:val="24"/>
          <w:szCs w:val="24"/>
        </w:rPr>
        <w:t xml:space="preserve"> 2016: 128; Gonzales 2020: 133).</w:t>
      </w:r>
      <w:r w:rsidR="008947FB">
        <w:rPr>
          <w:sz w:val="24"/>
          <w:szCs w:val="24"/>
        </w:rPr>
        <w:t xml:space="preserve"> Moreover, </w:t>
      </w:r>
      <w:r w:rsidR="0022019B">
        <w:rPr>
          <w:sz w:val="24"/>
          <w:szCs w:val="24"/>
        </w:rPr>
        <w:t xml:space="preserve">the end goal of </w:t>
      </w:r>
      <w:r w:rsidR="008947FB">
        <w:rPr>
          <w:sz w:val="24"/>
          <w:szCs w:val="24"/>
        </w:rPr>
        <w:t>systemic change, by its very nature</w:t>
      </w:r>
      <w:r w:rsidR="0022019B">
        <w:rPr>
          <w:sz w:val="24"/>
          <w:szCs w:val="24"/>
        </w:rPr>
        <w:t>,</w:t>
      </w:r>
      <w:r w:rsidR="008947FB">
        <w:rPr>
          <w:sz w:val="24"/>
          <w:szCs w:val="24"/>
        </w:rPr>
        <w:t xml:space="preserve"> is too diffuse to measure with certainty.</w:t>
      </w:r>
    </w:p>
    <w:p w14:paraId="67919E8B" w14:textId="173FE8C2" w:rsidR="00D47991" w:rsidRDefault="00DF3F80">
      <w:pPr>
        <w:spacing w:after="160" w:line="480" w:lineRule="auto"/>
        <w:jc w:val="both"/>
        <w:rPr>
          <w:sz w:val="24"/>
          <w:szCs w:val="24"/>
        </w:rPr>
      </w:pPr>
      <w:r>
        <w:rPr>
          <w:sz w:val="24"/>
          <w:szCs w:val="24"/>
        </w:rPr>
        <w:lastRenderedPageBreak/>
        <w:t>Some museums intentionally guide their visitors to take specific actions to promote social justice such as signing petitions, calling a legislator, donating to a social cause, or registering to vote (Museums Association 2017; Ng et al. 2017; Gonzales 2020). In developing</w:t>
      </w:r>
      <w:r>
        <w:rPr>
          <w:i/>
          <w:sz w:val="24"/>
          <w:szCs w:val="24"/>
        </w:rPr>
        <w:t xml:space="preserve"> </w:t>
      </w:r>
      <w:proofErr w:type="spellStart"/>
      <w:r>
        <w:rPr>
          <w:i/>
          <w:sz w:val="24"/>
          <w:szCs w:val="24"/>
        </w:rPr>
        <w:t>In|Dignity</w:t>
      </w:r>
      <w:proofErr w:type="spellEnd"/>
      <w:r>
        <w:rPr>
          <w:i/>
          <w:sz w:val="24"/>
          <w:szCs w:val="24"/>
        </w:rPr>
        <w:t xml:space="preserve"> </w:t>
      </w:r>
      <w:r>
        <w:rPr>
          <w:sz w:val="24"/>
          <w:szCs w:val="24"/>
        </w:rPr>
        <w:t xml:space="preserve">we struggled with feeling like we, too, needed to offer concrete next steps to our visitors. But we </w:t>
      </w:r>
      <w:r w:rsidR="00A902B8">
        <w:rPr>
          <w:sz w:val="24"/>
          <w:szCs w:val="24"/>
        </w:rPr>
        <w:t xml:space="preserve">also </w:t>
      </w:r>
      <w:r>
        <w:rPr>
          <w:sz w:val="24"/>
          <w:szCs w:val="24"/>
        </w:rPr>
        <w:t>considered that too much emphasis on personal actions obscures the need for collective initiatives, distracts attention from systemic causes of disparit</w:t>
      </w:r>
      <w:r w:rsidR="00FB2795">
        <w:rPr>
          <w:sz w:val="24"/>
          <w:szCs w:val="24"/>
        </w:rPr>
        <w:t>ies</w:t>
      </w:r>
      <w:r>
        <w:rPr>
          <w:sz w:val="24"/>
          <w:szCs w:val="24"/>
        </w:rPr>
        <w:t xml:space="preserve">, and avoids politics and policy. In the end, we restricted such pointers to the concept cards, and delivered them only through the words of participants. </w:t>
      </w:r>
      <w:r w:rsidR="008C7E13">
        <w:rPr>
          <w:sz w:val="24"/>
          <w:szCs w:val="24"/>
        </w:rPr>
        <w:t>W</w:t>
      </w:r>
      <w:r>
        <w:rPr>
          <w:sz w:val="24"/>
          <w:szCs w:val="24"/>
        </w:rPr>
        <w:t>e wonder if this was a missed opportunity to provide more prominent, extensive, and specific information about</w:t>
      </w:r>
      <w:r>
        <w:rPr>
          <w:i/>
          <w:sz w:val="24"/>
          <w:szCs w:val="24"/>
        </w:rPr>
        <w:t xml:space="preserve"> </w:t>
      </w:r>
      <w:r>
        <w:rPr>
          <w:sz w:val="24"/>
          <w:szCs w:val="24"/>
        </w:rPr>
        <w:t xml:space="preserve">what can be done to promote social justice through personal responsibility, participatory citizenship, and justice-oriented collective actions (Westheimer and </w:t>
      </w:r>
      <w:proofErr w:type="spellStart"/>
      <w:r>
        <w:rPr>
          <w:sz w:val="24"/>
          <w:szCs w:val="24"/>
        </w:rPr>
        <w:t>Kahne</w:t>
      </w:r>
      <w:proofErr w:type="spellEnd"/>
      <w:r>
        <w:rPr>
          <w:sz w:val="24"/>
          <w:szCs w:val="24"/>
        </w:rPr>
        <w:t xml:space="preserve"> 2004). </w:t>
      </w:r>
    </w:p>
    <w:p w14:paraId="587C1994" w14:textId="482CF396" w:rsidR="00D47991" w:rsidRDefault="00DF3F80">
      <w:pPr>
        <w:spacing w:after="160" w:line="480" w:lineRule="auto"/>
        <w:jc w:val="both"/>
        <w:rPr>
          <w:sz w:val="24"/>
          <w:szCs w:val="24"/>
        </w:rPr>
      </w:pPr>
      <w:r>
        <w:rPr>
          <w:sz w:val="24"/>
          <w:szCs w:val="24"/>
        </w:rPr>
        <w:t xml:space="preserve">A final challenge was creating a sense of community among </w:t>
      </w:r>
      <w:proofErr w:type="spellStart"/>
      <w:r>
        <w:rPr>
          <w:i/>
          <w:sz w:val="24"/>
          <w:szCs w:val="24"/>
        </w:rPr>
        <w:t>In|Dignity</w:t>
      </w:r>
      <w:proofErr w:type="spellEnd"/>
      <w:r>
        <w:rPr>
          <w:i/>
          <w:sz w:val="24"/>
          <w:szCs w:val="24"/>
        </w:rPr>
        <w:t xml:space="preserve"> </w:t>
      </w:r>
      <w:r>
        <w:rPr>
          <w:sz w:val="24"/>
          <w:szCs w:val="24"/>
        </w:rPr>
        <w:t>participants, and maintaining a connection between participants and the museum after the gallery exhibition closed. Our participants had no organizational structure or common identity that tied them together. They met one another at our receptions, but our efforts to protect confidentiality meant that they stayed largely anonymous to one another. Setting up a secure communication channel masking personal contact information may have helped to extend their relationship</w:t>
      </w:r>
      <w:r w:rsidR="00A902B8">
        <w:rPr>
          <w:sz w:val="24"/>
          <w:szCs w:val="24"/>
        </w:rPr>
        <w:t>s</w:t>
      </w:r>
      <w:r>
        <w:rPr>
          <w:sz w:val="24"/>
          <w:szCs w:val="24"/>
        </w:rPr>
        <w:t xml:space="preserve"> with one another and with the museum. As a result of casting our net so wide to recruit participants, we also ended up developing relationships (and friendships) with individuals, but not partnerships. In hindsight, working more directly with community organizations to identify some of our participants may </w:t>
      </w:r>
      <w:r>
        <w:rPr>
          <w:sz w:val="24"/>
          <w:szCs w:val="24"/>
        </w:rPr>
        <w:lastRenderedPageBreak/>
        <w:t>have helped us to build connections that would outlast a single exhibition</w:t>
      </w:r>
      <w:r w:rsidR="00A902B8">
        <w:rPr>
          <w:sz w:val="24"/>
          <w:szCs w:val="24"/>
        </w:rPr>
        <w:t xml:space="preserve"> and have greater potential for impactful change</w:t>
      </w:r>
      <w:r>
        <w:rPr>
          <w:sz w:val="24"/>
          <w:szCs w:val="24"/>
        </w:rPr>
        <w:t xml:space="preserve">. </w:t>
      </w:r>
    </w:p>
    <w:p w14:paraId="2BEE2FDD" w14:textId="77777777" w:rsidR="00D47991" w:rsidRDefault="00DF3F80">
      <w:pPr>
        <w:pStyle w:val="Heading1"/>
        <w:spacing w:before="0" w:after="160" w:line="480" w:lineRule="auto"/>
        <w:jc w:val="both"/>
        <w:rPr>
          <w:u w:val="none"/>
        </w:rPr>
      </w:pPr>
      <w:bookmarkStart w:id="31" w:name="_heading=h.3dy6vkm" w:colFirst="0" w:colLast="0"/>
      <w:bookmarkEnd w:id="31"/>
      <w:r>
        <w:rPr>
          <w:u w:val="none"/>
        </w:rPr>
        <w:t>Conclusion</w:t>
      </w:r>
    </w:p>
    <w:p w14:paraId="6BAEF6BE" w14:textId="5DF641FA" w:rsidR="00D47991" w:rsidRDefault="00DF3F80">
      <w:pPr>
        <w:spacing w:after="160" w:line="480" w:lineRule="auto"/>
        <w:jc w:val="both"/>
        <w:rPr>
          <w:sz w:val="24"/>
          <w:szCs w:val="24"/>
        </w:rPr>
      </w:pPr>
      <w:proofErr w:type="spellStart"/>
      <w:r>
        <w:rPr>
          <w:i/>
          <w:sz w:val="24"/>
          <w:szCs w:val="24"/>
        </w:rPr>
        <w:t>In|Dignity</w:t>
      </w:r>
      <w:proofErr w:type="spellEnd"/>
      <w:r>
        <w:rPr>
          <w:sz w:val="24"/>
          <w:szCs w:val="24"/>
        </w:rPr>
        <w:t xml:space="preserve"> was an experimental collaboration – not with a singular, marginalized group, but with the multifaceted and multi-layered community in which our museum is embedded. The project included faculty from three colleges and six departments, and over 300 undergraduate students from </w:t>
      </w:r>
      <w:r w:rsidR="008C7E13">
        <w:rPr>
          <w:sz w:val="24"/>
          <w:szCs w:val="24"/>
        </w:rPr>
        <w:t xml:space="preserve">various </w:t>
      </w:r>
      <w:r>
        <w:rPr>
          <w:sz w:val="24"/>
          <w:szCs w:val="24"/>
        </w:rPr>
        <w:t xml:space="preserve">disciplines. We infused our methodologies with a social justice agenda by flattening hierarchies, sharing authority, and broadening what counts as worthy of attention. In the end, by utilizing our resources, credentials, and privileges as university professors we were able to amplify stories from our community, widely sharing the experiences of 43 individuals, </w:t>
      </w:r>
      <w:r w:rsidR="00A67D71">
        <w:rPr>
          <w:sz w:val="24"/>
          <w:szCs w:val="24"/>
        </w:rPr>
        <w:t>underscoring</w:t>
      </w:r>
      <w:r w:rsidR="008C7E13">
        <w:rPr>
          <w:sz w:val="24"/>
          <w:szCs w:val="24"/>
        </w:rPr>
        <w:t xml:space="preserve"> the </w:t>
      </w:r>
      <w:r w:rsidR="00606DD8">
        <w:rPr>
          <w:sz w:val="24"/>
          <w:szCs w:val="24"/>
        </w:rPr>
        <w:t>legitimacy</w:t>
      </w:r>
      <w:r w:rsidR="008C7E13">
        <w:rPr>
          <w:sz w:val="24"/>
          <w:szCs w:val="24"/>
        </w:rPr>
        <w:t xml:space="preserve"> of </w:t>
      </w:r>
      <w:r>
        <w:rPr>
          <w:sz w:val="24"/>
          <w:szCs w:val="24"/>
        </w:rPr>
        <w:t xml:space="preserve">their knowledge, the pervasiveness of injustice and the tolls of marginalization. With engaging narrative accounts, </w:t>
      </w:r>
      <w:proofErr w:type="spellStart"/>
      <w:r>
        <w:rPr>
          <w:i/>
          <w:sz w:val="24"/>
          <w:szCs w:val="24"/>
        </w:rPr>
        <w:t>InDignity</w:t>
      </w:r>
      <w:proofErr w:type="spellEnd"/>
      <w:r>
        <w:rPr>
          <w:i/>
          <w:sz w:val="24"/>
          <w:szCs w:val="24"/>
        </w:rPr>
        <w:t xml:space="preserve"> </w:t>
      </w:r>
      <w:r>
        <w:rPr>
          <w:sz w:val="24"/>
          <w:szCs w:val="24"/>
        </w:rPr>
        <w:t>pulled visitors in, not by asking them to learn</w:t>
      </w:r>
      <w:r>
        <w:rPr>
          <w:i/>
          <w:sz w:val="24"/>
          <w:szCs w:val="24"/>
        </w:rPr>
        <w:t xml:space="preserve"> </w:t>
      </w:r>
      <w:r>
        <w:rPr>
          <w:sz w:val="24"/>
          <w:szCs w:val="24"/>
        </w:rPr>
        <w:t xml:space="preserve">something </w:t>
      </w:r>
      <w:r>
        <w:rPr>
          <w:i/>
          <w:sz w:val="24"/>
          <w:szCs w:val="24"/>
        </w:rPr>
        <w:t>about</w:t>
      </w:r>
      <w:r>
        <w:rPr>
          <w:sz w:val="24"/>
          <w:szCs w:val="24"/>
        </w:rPr>
        <w:t xml:space="preserve"> social justice but by creating the conditions for open-mindedness to its validity. In offering intimacy rather than certainty, and a relational mode of engaging with the content rather than the more typical </w:t>
      </w:r>
      <w:proofErr w:type="spellStart"/>
      <w:r>
        <w:rPr>
          <w:sz w:val="24"/>
          <w:szCs w:val="24"/>
        </w:rPr>
        <w:t>museological</w:t>
      </w:r>
      <w:proofErr w:type="spellEnd"/>
      <w:r>
        <w:rPr>
          <w:sz w:val="24"/>
          <w:szCs w:val="24"/>
        </w:rPr>
        <w:t xml:space="preserve"> approach of interpretation and analysis, </w:t>
      </w:r>
      <w:proofErr w:type="spellStart"/>
      <w:r>
        <w:rPr>
          <w:i/>
          <w:sz w:val="24"/>
          <w:szCs w:val="24"/>
        </w:rPr>
        <w:t>In|Dignity</w:t>
      </w:r>
      <w:proofErr w:type="spellEnd"/>
      <w:r>
        <w:rPr>
          <w:sz w:val="24"/>
          <w:szCs w:val="24"/>
        </w:rPr>
        <w:t xml:space="preserve"> incorporated, supported, and served the community by laying groundwork for critical consciousness and, we hope, also </w:t>
      </w:r>
      <w:proofErr w:type="spellStart"/>
      <w:r>
        <w:rPr>
          <w:sz w:val="24"/>
          <w:szCs w:val="24"/>
        </w:rPr>
        <w:t>allyship</w:t>
      </w:r>
      <w:proofErr w:type="spellEnd"/>
      <w:r>
        <w:rPr>
          <w:sz w:val="24"/>
          <w:szCs w:val="24"/>
        </w:rPr>
        <w:t xml:space="preserve"> and change. </w:t>
      </w:r>
    </w:p>
    <w:p w14:paraId="323CBF7A" w14:textId="69E192DF" w:rsidR="00D47991" w:rsidRDefault="00DF3F80">
      <w:pPr>
        <w:spacing w:after="160" w:line="480" w:lineRule="auto"/>
        <w:jc w:val="both"/>
        <w:rPr>
          <w:sz w:val="24"/>
          <w:szCs w:val="24"/>
        </w:rPr>
      </w:pPr>
      <w:bookmarkStart w:id="32" w:name="_heading=h.4d34og8" w:colFirst="0" w:colLast="0"/>
      <w:bookmarkEnd w:id="32"/>
      <w:r>
        <w:rPr>
          <w:sz w:val="24"/>
          <w:szCs w:val="24"/>
        </w:rPr>
        <w:t xml:space="preserve">With this article we intend to inspire those who are interested in similar community-museum collaborations, and particularly university museums with the opportunity to engage students, to consider the power of storytelling as a part of </w:t>
      </w:r>
      <w:r>
        <w:rPr>
          <w:sz w:val="24"/>
          <w:szCs w:val="24"/>
        </w:rPr>
        <w:lastRenderedPageBreak/>
        <w:t xml:space="preserve">their endeavours (see also Ng et al. 2017; </w:t>
      </w:r>
      <w:proofErr w:type="spellStart"/>
      <w:r>
        <w:rPr>
          <w:sz w:val="24"/>
          <w:szCs w:val="24"/>
        </w:rPr>
        <w:t>Orloff</w:t>
      </w:r>
      <w:proofErr w:type="spellEnd"/>
      <w:r>
        <w:rPr>
          <w:sz w:val="24"/>
          <w:szCs w:val="24"/>
        </w:rPr>
        <w:t xml:space="preserve"> 2017). Community engagement and service learning are widely upheld as high impact practices in education, and working with oral histories is demonstrated to enhance student investment in course materials (Baxter and Marshall 2012: 62). Likewise, Norma González, Luis Moll, and Cathy </w:t>
      </w:r>
      <w:proofErr w:type="spellStart"/>
      <w:r>
        <w:rPr>
          <w:sz w:val="24"/>
          <w:szCs w:val="24"/>
        </w:rPr>
        <w:t>Amanti</w:t>
      </w:r>
      <w:proofErr w:type="spellEnd"/>
      <w:r>
        <w:rPr>
          <w:sz w:val="24"/>
          <w:szCs w:val="24"/>
        </w:rPr>
        <w:t xml:space="preserve"> (2005) argue that it is through such projects of deep engagement that educators themselves (and we can extend here to museum professionals) can become more effective allies for social justice. This was certainly our own experience. While we have both studied diversity from disciplinary perspectives (anthropology and sociology), we were astounded by the intersectional identities and dimensions of marginality reported by project participants. This enhanced our understanding of and appreciation for our community, and encouraged us to continue devoting our resources and skills to uplift </w:t>
      </w:r>
      <w:r w:rsidR="00A67D71">
        <w:rPr>
          <w:sz w:val="24"/>
          <w:szCs w:val="24"/>
        </w:rPr>
        <w:t xml:space="preserve">local </w:t>
      </w:r>
      <w:r>
        <w:rPr>
          <w:sz w:val="24"/>
          <w:szCs w:val="24"/>
        </w:rPr>
        <w:t>stories, support marginalized identities, and craft affective encounters with “Others” to promote compassion</w:t>
      </w:r>
      <w:r w:rsidR="00A902B8">
        <w:rPr>
          <w:sz w:val="24"/>
          <w:szCs w:val="24"/>
        </w:rPr>
        <w:t xml:space="preserve">, </w:t>
      </w:r>
      <w:r>
        <w:rPr>
          <w:sz w:val="24"/>
          <w:szCs w:val="24"/>
        </w:rPr>
        <w:t>critical reflection</w:t>
      </w:r>
      <w:r w:rsidR="00A902B8">
        <w:rPr>
          <w:sz w:val="24"/>
          <w:szCs w:val="24"/>
        </w:rPr>
        <w:t>, and ultimately systemic change</w:t>
      </w:r>
      <w:r>
        <w:rPr>
          <w:sz w:val="24"/>
          <w:szCs w:val="24"/>
        </w:rPr>
        <w:t xml:space="preserve"> in the museum, in the classroom, and in the world. </w:t>
      </w:r>
    </w:p>
    <w:p w14:paraId="5F8A66E3" w14:textId="77777777" w:rsidR="00D47991" w:rsidRDefault="00DF3F80">
      <w:pPr>
        <w:pStyle w:val="Heading1"/>
        <w:spacing w:before="0" w:after="160" w:line="480" w:lineRule="auto"/>
        <w:jc w:val="both"/>
        <w:rPr>
          <w:u w:val="none"/>
        </w:rPr>
      </w:pPr>
      <w:bookmarkStart w:id="33" w:name="_heading=h.1t3h5sf" w:colFirst="0" w:colLast="0"/>
      <w:bookmarkEnd w:id="33"/>
      <w:r>
        <w:rPr>
          <w:u w:val="none"/>
        </w:rPr>
        <w:t>References</w:t>
      </w:r>
    </w:p>
    <w:p w14:paraId="5B99FBD0" w14:textId="77777777" w:rsidR="00D47991" w:rsidRDefault="00DF3F80">
      <w:pPr>
        <w:spacing w:after="160" w:line="480" w:lineRule="auto"/>
        <w:jc w:val="both"/>
        <w:rPr>
          <w:sz w:val="24"/>
          <w:szCs w:val="24"/>
        </w:rPr>
      </w:pPr>
      <w:r>
        <w:rPr>
          <w:sz w:val="24"/>
          <w:szCs w:val="24"/>
        </w:rPr>
        <w:t xml:space="preserve">Adair, B., Filene, B. and </w:t>
      </w:r>
      <w:proofErr w:type="spellStart"/>
      <w:r>
        <w:rPr>
          <w:sz w:val="24"/>
          <w:szCs w:val="24"/>
        </w:rPr>
        <w:t>Koloski</w:t>
      </w:r>
      <w:proofErr w:type="spellEnd"/>
      <w:r>
        <w:rPr>
          <w:sz w:val="24"/>
          <w:szCs w:val="24"/>
        </w:rPr>
        <w:t>, L. (</w:t>
      </w:r>
      <w:proofErr w:type="spellStart"/>
      <w:r>
        <w:rPr>
          <w:sz w:val="24"/>
          <w:szCs w:val="24"/>
        </w:rPr>
        <w:t>eds</w:t>
      </w:r>
      <w:proofErr w:type="spellEnd"/>
      <w:r>
        <w:rPr>
          <w:sz w:val="24"/>
          <w:szCs w:val="24"/>
        </w:rPr>
        <w:t>) (2011) Letting Go</w:t>
      </w:r>
      <w:proofErr w:type="gramStart"/>
      <w:r>
        <w:rPr>
          <w:sz w:val="24"/>
          <w:szCs w:val="24"/>
        </w:rPr>
        <w:t>?:</w:t>
      </w:r>
      <w:proofErr w:type="gramEnd"/>
      <w:r>
        <w:rPr>
          <w:sz w:val="24"/>
          <w:szCs w:val="24"/>
        </w:rPr>
        <w:t xml:space="preserve"> Sharing Historical Authority in a User-Generated World, Philadelphia: The Pew Center for Arts and Heritage. </w:t>
      </w:r>
    </w:p>
    <w:p w14:paraId="3D5E433D" w14:textId="77777777" w:rsidR="00D47991" w:rsidRDefault="00DF3F80">
      <w:pPr>
        <w:spacing w:after="160" w:line="480" w:lineRule="auto"/>
        <w:jc w:val="both"/>
        <w:rPr>
          <w:sz w:val="24"/>
          <w:szCs w:val="24"/>
        </w:rPr>
      </w:pPr>
      <w:r>
        <w:rPr>
          <w:sz w:val="24"/>
          <w:szCs w:val="24"/>
        </w:rPr>
        <w:t>Adams, M. (2017) ‘Deconstructing Systems of Bias in the Museum Field Using Critical Race Theory’, Journal of Museum Education,</w:t>
      </w:r>
      <w:r>
        <w:rPr>
          <w:i/>
          <w:sz w:val="24"/>
          <w:szCs w:val="24"/>
        </w:rPr>
        <w:t xml:space="preserve"> </w:t>
      </w:r>
      <w:r>
        <w:rPr>
          <w:sz w:val="24"/>
          <w:szCs w:val="24"/>
        </w:rPr>
        <w:t>42</w:t>
      </w:r>
      <w:r>
        <w:rPr>
          <w:i/>
          <w:sz w:val="24"/>
          <w:szCs w:val="24"/>
        </w:rPr>
        <w:t xml:space="preserve"> </w:t>
      </w:r>
      <w:r>
        <w:rPr>
          <w:sz w:val="24"/>
          <w:szCs w:val="24"/>
        </w:rPr>
        <w:t xml:space="preserve">(3) 290-6. </w:t>
      </w:r>
    </w:p>
    <w:p w14:paraId="64464B7B" w14:textId="77777777" w:rsidR="00D47991" w:rsidRDefault="00DF3F80">
      <w:pPr>
        <w:spacing w:after="160" w:line="480" w:lineRule="auto"/>
        <w:jc w:val="both"/>
        <w:rPr>
          <w:sz w:val="24"/>
          <w:szCs w:val="24"/>
        </w:rPr>
      </w:pPr>
      <w:proofErr w:type="spellStart"/>
      <w:r>
        <w:rPr>
          <w:sz w:val="24"/>
          <w:szCs w:val="24"/>
        </w:rPr>
        <w:t>Allport</w:t>
      </w:r>
      <w:proofErr w:type="spellEnd"/>
      <w:r>
        <w:rPr>
          <w:sz w:val="24"/>
          <w:szCs w:val="24"/>
        </w:rPr>
        <w:t xml:space="preserve">, G. W. (1954) </w:t>
      </w:r>
      <w:proofErr w:type="gramStart"/>
      <w:r>
        <w:rPr>
          <w:sz w:val="24"/>
          <w:szCs w:val="24"/>
        </w:rPr>
        <w:t>The</w:t>
      </w:r>
      <w:proofErr w:type="gramEnd"/>
      <w:r>
        <w:rPr>
          <w:sz w:val="24"/>
          <w:szCs w:val="24"/>
        </w:rPr>
        <w:t xml:space="preserve"> Nature of Prejudice, Cambridge, MA: Beacon Press.</w:t>
      </w:r>
    </w:p>
    <w:p w14:paraId="77CAA318" w14:textId="77777777" w:rsidR="00D47991" w:rsidRDefault="00DF3F80">
      <w:pPr>
        <w:spacing w:after="160" w:line="480" w:lineRule="auto"/>
        <w:jc w:val="both"/>
        <w:rPr>
          <w:sz w:val="24"/>
          <w:szCs w:val="24"/>
        </w:rPr>
      </w:pPr>
      <w:r>
        <w:rPr>
          <w:sz w:val="24"/>
          <w:szCs w:val="24"/>
        </w:rPr>
        <w:lastRenderedPageBreak/>
        <w:t xml:space="preserve">Arnold-de </w:t>
      </w:r>
      <w:proofErr w:type="spellStart"/>
      <w:r>
        <w:rPr>
          <w:sz w:val="24"/>
          <w:szCs w:val="24"/>
        </w:rPr>
        <w:t>Simine</w:t>
      </w:r>
      <w:proofErr w:type="spellEnd"/>
      <w:r>
        <w:rPr>
          <w:sz w:val="24"/>
          <w:szCs w:val="24"/>
        </w:rPr>
        <w:t xml:space="preserve">, S. (2013) Mediating Memory in the Museum: Trauma, Empathy, Nostalgia, </w:t>
      </w:r>
      <w:proofErr w:type="gramStart"/>
      <w:r>
        <w:rPr>
          <w:sz w:val="24"/>
          <w:szCs w:val="24"/>
        </w:rPr>
        <w:t>New</w:t>
      </w:r>
      <w:proofErr w:type="gramEnd"/>
      <w:r>
        <w:rPr>
          <w:sz w:val="24"/>
          <w:szCs w:val="24"/>
        </w:rPr>
        <w:t xml:space="preserve"> York: Palgrave Macmillan.</w:t>
      </w:r>
    </w:p>
    <w:p w14:paraId="33DFC1C3" w14:textId="77777777" w:rsidR="00D47991" w:rsidRDefault="00DF3F80">
      <w:pPr>
        <w:spacing w:after="160" w:line="480" w:lineRule="auto"/>
        <w:jc w:val="both"/>
        <w:rPr>
          <w:sz w:val="24"/>
          <w:szCs w:val="24"/>
        </w:rPr>
      </w:pPr>
      <w:r>
        <w:rPr>
          <w:sz w:val="24"/>
          <w:szCs w:val="24"/>
        </w:rPr>
        <w:t xml:space="preserve">Associated Press (2016) ‘One Year After San Bernardino Attack, City Aims to Prevent Muslim Hate Crimes’ The Guardian, 1 December 2016. </w:t>
      </w:r>
      <w:hyperlink r:id="rId14">
        <w:r>
          <w:rPr>
            <w:color w:val="0000FF"/>
            <w:sz w:val="24"/>
            <w:szCs w:val="24"/>
            <w:u w:val="single"/>
          </w:rPr>
          <w:t>https://www.theguardian.com/us-news/2016/dec/01/san-bernardino-shooting-one-year-later-muslim-hate-crimes</w:t>
        </w:r>
      </w:hyperlink>
      <w:r>
        <w:rPr>
          <w:sz w:val="24"/>
          <w:szCs w:val="24"/>
        </w:rPr>
        <w:t>, accessed 9 March 2021.</w:t>
      </w:r>
    </w:p>
    <w:p w14:paraId="2A191B00" w14:textId="77777777" w:rsidR="00D47991" w:rsidRDefault="00DF3F80">
      <w:pPr>
        <w:spacing w:after="160" w:line="480" w:lineRule="auto"/>
        <w:jc w:val="both"/>
        <w:rPr>
          <w:sz w:val="24"/>
          <w:szCs w:val="24"/>
        </w:rPr>
      </w:pPr>
      <w:r>
        <w:rPr>
          <w:sz w:val="24"/>
          <w:szCs w:val="24"/>
        </w:rPr>
        <w:t>Baxter, J. E. and Marshall, M.S. (2012) ‘University Students and Local Museums: Developing Effective Partnerships with Oral History’, Partnerships: A Journal of Service-Learning &amp; Civic Engagement</w:t>
      </w:r>
      <w:r>
        <w:rPr>
          <w:i/>
          <w:sz w:val="24"/>
          <w:szCs w:val="24"/>
        </w:rPr>
        <w:t xml:space="preserve">, </w:t>
      </w:r>
      <w:r>
        <w:rPr>
          <w:sz w:val="24"/>
          <w:szCs w:val="24"/>
        </w:rPr>
        <w:t>3</w:t>
      </w:r>
      <w:r>
        <w:rPr>
          <w:i/>
          <w:sz w:val="24"/>
          <w:szCs w:val="24"/>
        </w:rPr>
        <w:t xml:space="preserve"> </w:t>
      </w:r>
      <w:r>
        <w:rPr>
          <w:sz w:val="24"/>
          <w:szCs w:val="24"/>
        </w:rPr>
        <w:t>(2) 59-77.</w:t>
      </w:r>
    </w:p>
    <w:p w14:paraId="390F426E" w14:textId="5A1F2073" w:rsidR="00EE5F5F" w:rsidRDefault="00EE5F5F">
      <w:pPr>
        <w:spacing w:after="160" w:line="480" w:lineRule="auto"/>
        <w:jc w:val="both"/>
        <w:rPr>
          <w:sz w:val="24"/>
          <w:szCs w:val="24"/>
        </w:rPr>
      </w:pPr>
      <w:r>
        <w:rPr>
          <w:sz w:val="24"/>
          <w:szCs w:val="24"/>
        </w:rPr>
        <w:t>Bedford, L. (2010) ‘Storytelling: The Real Work of Museums’ Curator: The Museum Journal, 44(1) 27-34.</w:t>
      </w:r>
    </w:p>
    <w:p w14:paraId="0D128B2F" w14:textId="3A9D7875" w:rsidR="00631971" w:rsidRDefault="00631971">
      <w:pPr>
        <w:spacing w:after="160" w:line="480" w:lineRule="auto"/>
        <w:jc w:val="both"/>
        <w:rPr>
          <w:sz w:val="24"/>
          <w:szCs w:val="24"/>
        </w:rPr>
      </w:pPr>
      <w:r>
        <w:rPr>
          <w:sz w:val="24"/>
          <w:szCs w:val="24"/>
        </w:rPr>
        <w:tab/>
        <w:t>(2014) The Art of Museum Exhibitions: How Story and Imagination Create Aesthetic Experiences, New York: Routledge.</w:t>
      </w:r>
    </w:p>
    <w:p w14:paraId="202D9B94" w14:textId="77777777" w:rsidR="00D47991" w:rsidRDefault="00DF3F80">
      <w:pPr>
        <w:spacing w:after="160" w:line="480" w:lineRule="auto"/>
        <w:jc w:val="both"/>
        <w:rPr>
          <w:sz w:val="24"/>
          <w:szCs w:val="24"/>
        </w:rPr>
      </w:pPr>
      <w:r>
        <w:rPr>
          <w:sz w:val="24"/>
          <w:szCs w:val="24"/>
        </w:rPr>
        <w:t xml:space="preserve">Bell, L. A. (2010) Storytelling for Social Justice, New York: Routledge. </w:t>
      </w:r>
    </w:p>
    <w:p w14:paraId="10B648AC" w14:textId="77777777" w:rsidR="00D47991" w:rsidRDefault="00DF3F80">
      <w:pPr>
        <w:spacing w:after="160" w:line="480" w:lineRule="auto"/>
        <w:jc w:val="both"/>
        <w:rPr>
          <w:sz w:val="24"/>
          <w:szCs w:val="24"/>
        </w:rPr>
      </w:pPr>
      <w:r>
        <w:rPr>
          <w:sz w:val="24"/>
          <w:szCs w:val="24"/>
        </w:rPr>
        <w:t xml:space="preserve">Bennett, T. (1995) </w:t>
      </w:r>
      <w:proofErr w:type="gramStart"/>
      <w:r>
        <w:rPr>
          <w:sz w:val="24"/>
          <w:szCs w:val="24"/>
        </w:rPr>
        <w:t>The</w:t>
      </w:r>
      <w:proofErr w:type="gramEnd"/>
      <w:r>
        <w:rPr>
          <w:sz w:val="24"/>
          <w:szCs w:val="24"/>
        </w:rPr>
        <w:t xml:space="preserve"> Birth of The Museum, New York: Routledge. </w:t>
      </w:r>
    </w:p>
    <w:p w14:paraId="3C0EA209" w14:textId="77777777" w:rsidR="00D47991" w:rsidRDefault="00DF3F80">
      <w:pPr>
        <w:spacing w:after="160" w:line="480" w:lineRule="auto"/>
        <w:jc w:val="both"/>
        <w:rPr>
          <w:sz w:val="24"/>
          <w:szCs w:val="24"/>
        </w:rPr>
      </w:pPr>
      <w:proofErr w:type="spellStart"/>
      <w:r>
        <w:rPr>
          <w:sz w:val="24"/>
          <w:szCs w:val="24"/>
        </w:rPr>
        <w:t>Bonnell</w:t>
      </w:r>
      <w:proofErr w:type="spellEnd"/>
      <w:r>
        <w:rPr>
          <w:sz w:val="24"/>
          <w:szCs w:val="24"/>
        </w:rPr>
        <w:t>, J. and Simon, R.I. (2007) ‘“Difficult” Exhibitions and Intimate Encounters’, Museum and Society</w:t>
      </w:r>
      <w:r>
        <w:rPr>
          <w:i/>
          <w:sz w:val="24"/>
          <w:szCs w:val="24"/>
        </w:rPr>
        <w:t xml:space="preserve">, </w:t>
      </w:r>
      <w:r>
        <w:rPr>
          <w:sz w:val="24"/>
          <w:szCs w:val="24"/>
        </w:rPr>
        <w:t>5 (2) 65-85.</w:t>
      </w:r>
    </w:p>
    <w:p w14:paraId="186B0BEA" w14:textId="77777777" w:rsidR="00D47991" w:rsidRDefault="00DF3F80">
      <w:pPr>
        <w:spacing w:after="160" w:line="480" w:lineRule="auto"/>
        <w:jc w:val="both"/>
        <w:rPr>
          <w:sz w:val="24"/>
          <w:szCs w:val="24"/>
          <w:highlight w:val="white"/>
        </w:rPr>
      </w:pPr>
      <w:r>
        <w:rPr>
          <w:sz w:val="24"/>
          <w:szCs w:val="24"/>
          <w:highlight w:val="white"/>
        </w:rPr>
        <w:t>Bruner, E. M. (1996) ‘Tourism in Ghana: The Representation of Slavery and the Return of the Black Diaspora’, American Anthropologist, 98 (2) 290-304.</w:t>
      </w:r>
    </w:p>
    <w:p w14:paraId="446D0BDE" w14:textId="0EDC8C97" w:rsidR="00631971" w:rsidRDefault="00631971">
      <w:pPr>
        <w:spacing w:after="160" w:line="480" w:lineRule="auto"/>
        <w:jc w:val="both"/>
        <w:rPr>
          <w:sz w:val="24"/>
          <w:szCs w:val="24"/>
          <w:highlight w:val="white"/>
        </w:rPr>
      </w:pPr>
      <w:r>
        <w:rPr>
          <w:sz w:val="24"/>
          <w:szCs w:val="24"/>
          <w:highlight w:val="white"/>
        </w:rPr>
        <w:t>Bruner, J. (1990) Acts of Meaning, Cambridge: Harvard University Press.</w:t>
      </w:r>
    </w:p>
    <w:p w14:paraId="5DB4BEE9" w14:textId="77777777" w:rsidR="00D47991" w:rsidRDefault="00DF3F80">
      <w:pPr>
        <w:spacing w:after="160" w:line="480" w:lineRule="auto"/>
        <w:jc w:val="both"/>
        <w:rPr>
          <w:sz w:val="24"/>
          <w:szCs w:val="24"/>
        </w:rPr>
      </w:pPr>
      <w:r>
        <w:rPr>
          <w:sz w:val="24"/>
          <w:szCs w:val="24"/>
        </w:rPr>
        <w:lastRenderedPageBreak/>
        <w:t>Cameron, F. (2007) ‘Moral Lessons and Reforming Agendas: History Museums, Science Museums, Contentious Topics and Contemporary Societies’, in Simon J. Knell, Suzanne MacLeod and Sheila Watson (</w:t>
      </w:r>
      <w:proofErr w:type="spellStart"/>
      <w:proofErr w:type="gramStart"/>
      <w:r>
        <w:rPr>
          <w:sz w:val="24"/>
          <w:szCs w:val="24"/>
        </w:rPr>
        <w:t>eds</w:t>
      </w:r>
      <w:proofErr w:type="spellEnd"/>
      <w:proofErr w:type="gramEnd"/>
      <w:r>
        <w:rPr>
          <w:sz w:val="24"/>
          <w:szCs w:val="24"/>
        </w:rPr>
        <w:t xml:space="preserve">) Museum Revolutions: How Museums Change and Are Changed, 330-342, Abingdon: Routledge. </w:t>
      </w:r>
    </w:p>
    <w:p w14:paraId="7A0CE59B" w14:textId="77777777" w:rsidR="00D47991" w:rsidRDefault="00DF3F80">
      <w:pPr>
        <w:spacing w:line="480" w:lineRule="auto"/>
        <w:jc w:val="both"/>
        <w:rPr>
          <w:sz w:val="24"/>
          <w:szCs w:val="24"/>
        </w:rPr>
      </w:pPr>
      <w:proofErr w:type="spellStart"/>
      <w:r>
        <w:rPr>
          <w:sz w:val="24"/>
          <w:szCs w:val="24"/>
        </w:rPr>
        <w:t>Cavness</w:t>
      </w:r>
      <w:proofErr w:type="spellEnd"/>
      <w:r>
        <w:rPr>
          <w:sz w:val="24"/>
          <w:szCs w:val="24"/>
        </w:rPr>
        <w:t xml:space="preserve">, C. (2019) ‘The Need for Diversity and Inclusion in Developing Narratives’, </w:t>
      </w:r>
      <w:r>
        <w:rPr>
          <w:i/>
          <w:sz w:val="24"/>
          <w:szCs w:val="24"/>
        </w:rPr>
        <w:t>Theory and Practice</w:t>
      </w:r>
      <w:r>
        <w:rPr>
          <w:sz w:val="24"/>
          <w:szCs w:val="24"/>
        </w:rPr>
        <w:t xml:space="preserve"> 2. </w:t>
      </w:r>
      <w:proofErr w:type="spellStart"/>
      <w:r>
        <w:rPr>
          <w:sz w:val="24"/>
          <w:szCs w:val="24"/>
        </w:rPr>
        <w:t>Unpaginated</w:t>
      </w:r>
      <w:proofErr w:type="spellEnd"/>
    </w:p>
    <w:p w14:paraId="5BD159E7" w14:textId="77777777" w:rsidR="00D47991" w:rsidRDefault="001823EA">
      <w:pPr>
        <w:spacing w:after="240" w:line="480" w:lineRule="auto"/>
        <w:jc w:val="both"/>
        <w:rPr>
          <w:sz w:val="24"/>
          <w:szCs w:val="24"/>
        </w:rPr>
      </w:pPr>
      <w:hyperlink r:id="rId15">
        <w:r w:rsidR="00DF3F80">
          <w:rPr>
            <w:sz w:val="24"/>
            <w:szCs w:val="24"/>
            <w:u w:val="single"/>
          </w:rPr>
          <w:t>http://articles.themuseumscholar.org/tp_vol2cavness</w:t>
        </w:r>
      </w:hyperlink>
    </w:p>
    <w:p w14:paraId="0972D0A8" w14:textId="77777777" w:rsidR="00D47991" w:rsidRDefault="00DF3F80">
      <w:pPr>
        <w:spacing w:after="160" w:line="480" w:lineRule="auto"/>
        <w:jc w:val="both"/>
        <w:rPr>
          <w:sz w:val="24"/>
          <w:szCs w:val="24"/>
          <w:highlight w:val="white"/>
        </w:rPr>
      </w:pPr>
      <w:proofErr w:type="spellStart"/>
      <w:r>
        <w:rPr>
          <w:sz w:val="24"/>
          <w:szCs w:val="24"/>
          <w:highlight w:val="white"/>
        </w:rPr>
        <w:t>Chemers</w:t>
      </w:r>
      <w:proofErr w:type="spellEnd"/>
      <w:r>
        <w:rPr>
          <w:sz w:val="24"/>
          <w:szCs w:val="24"/>
          <w:highlight w:val="white"/>
        </w:rPr>
        <w:t xml:space="preserve">, M. M. (2010) Ghost light: An Introductory Handbook for Dramaturgy, Carbondale, IL: Southern Illinois University Press. </w:t>
      </w:r>
    </w:p>
    <w:p w14:paraId="14BB796D" w14:textId="77777777" w:rsidR="00D47991" w:rsidRDefault="00DF3F80">
      <w:pPr>
        <w:spacing w:after="160" w:line="480" w:lineRule="auto"/>
        <w:jc w:val="both"/>
        <w:rPr>
          <w:sz w:val="24"/>
          <w:szCs w:val="24"/>
          <w:highlight w:val="white"/>
        </w:rPr>
      </w:pPr>
      <w:r>
        <w:rPr>
          <w:sz w:val="24"/>
          <w:szCs w:val="24"/>
          <w:highlight w:val="white"/>
        </w:rPr>
        <w:t>Cho, H. (2017) ‘Navigating the Meanings of Social Justice, Teaching for Social Justice, and Multicultural Education’,</w:t>
      </w:r>
      <w:r>
        <w:rPr>
          <w:i/>
          <w:sz w:val="24"/>
          <w:szCs w:val="24"/>
          <w:highlight w:val="white"/>
        </w:rPr>
        <w:t xml:space="preserve"> </w:t>
      </w:r>
      <w:r>
        <w:rPr>
          <w:sz w:val="24"/>
          <w:szCs w:val="24"/>
          <w:highlight w:val="white"/>
        </w:rPr>
        <w:t>International Journal of Multicultural Education</w:t>
      </w:r>
      <w:r>
        <w:rPr>
          <w:i/>
          <w:sz w:val="24"/>
          <w:szCs w:val="24"/>
          <w:highlight w:val="white"/>
        </w:rPr>
        <w:t>,</w:t>
      </w:r>
      <w:r>
        <w:rPr>
          <w:sz w:val="24"/>
          <w:szCs w:val="24"/>
          <w:highlight w:val="white"/>
        </w:rPr>
        <w:t xml:space="preserve"> 19 (2) 1-19.</w:t>
      </w:r>
    </w:p>
    <w:p w14:paraId="772E0D81" w14:textId="77777777" w:rsidR="00D47991" w:rsidRDefault="00DF3F80">
      <w:pPr>
        <w:spacing w:after="160" w:line="480" w:lineRule="auto"/>
        <w:jc w:val="both"/>
        <w:rPr>
          <w:sz w:val="24"/>
          <w:szCs w:val="24"/>
          <w:highlight w:val="white"/>
        </w:rPr>
      </w:pPr>
      <w:r>
        <w:rPr>
          <w:sz w:val="24"/>
          <w:szCs w:val="24"/>
          <w:highlight w:val="white"/>
        </w:rPr>
        <w:t xml:space="preserve">Chynoweth, A., Lynch, B., Peterson K., and </w:t>
      </w:r>
      <w:proofErr w:type="spellStart"/>
      <w:r>
        <w:rPr>
          <w:sz w:val="24"/>
          <w:szCs w:val="24"/>
          <w:highlight w:val="white"/>
        </w:rPr>
        <w:t>Smed</w:t>
      </w:r>
      <w:proofErr w:type="spellEnd"/>
      <w:r>
        <w:rPr>
          <w:sz w:val="24"/>
          <w:szCs w:val="24"/>
          <w:highlight w:val="white"/>
        </w:rPr>
        <w:t>, S. (</w:t>
      </w:r>
      <w:proofErr w:type="spellStart"/>
      <w:proofErr w:type="gramStart"/>
      <w:r>
        <w:rPr>
          <w:sz w:val="24"/>
          <w:szCs w:val="24"/>
          <w:highlight w:val="white"/>
        </w:rPr>
        <w:t>eds</w:t>
      </w:r>
      <w:proofErr w:type="spellEnd"/>
      <w:proofErr w:type="gramEnd"/>
      <w:r>
        <w:rPr>
          <w:sz w:val="24"/>
          <w:szCs w:val="24"/>
          <w:highlight w:val="white"/>
        </w:rPr>
        <w:t>) (2020) Museums and Social Change: Challenging the Unhelpful Museum, London: Routledge</w:t>
      </w:r>
    </w:p>
    <w:p w14:paraId="3CC915EF" w14:textId="77777777" w:rsidR="00D47991" w:rsidRDefault="00DF3F80">
      <w:pPr>
        <w:spacing w:after="160" w:line="480" w:lineRule="auto"/>
        <w:jc w:val="both"/>
        <w:rPr>
          <w:sz w:val="24"/>
          <w:szCs w:val="24"/>
          <w:highlight w:val="white"/>
        </w:rPr>
      </w:pPr>
      <w:r>
        <w:rPr>
          <w:sz w:val="24"/>
          <w:szCs w:val="24"/>
          <w:highlight w:val="white"/>
        </w:rPr>
        <w:t xml:space="preserve">Day, A. (2006) ‘London’s Voices: Exhibiting Oral History’, </w:t>
      </w:r>
      <w:r>
        <w:rPr>
          <w:i/>
          <w:sz w:val="24"/>
          <w:szCs w:val="24"/>
          <w:highlight w:val="white"/>
        </w:rPr>
        <w:t>Oral History,</w:t>
      </w:r>
      <w:r>
        <w:rPr>
          <w:sz w:val="24"/>
          <w:szCs w:val="24"/>
          <w:highlight w:val="white"/>
        </w:rPr>
        <w:t xml:space="preserve"> 34</w:t>
      </w:r>
      <w:r>
        <w:rPr>
          <w:i/>
          <w:sz w:val="24"/>
          <w:szCs w:val="24"/>
          <w:highlight w:val="white"/>
        </w:rPr>
        <w:t xml:space="preserve"> </w:t>
      </w:r>
      <w:r>
        <w:rPr>
          <w:sz w:val="24"/>
          <w:szCs w:val="24"/>
          <w:highlight w:val="white"/>
        </w:rPr>
        <w:t>(2) 95-104.</w:t>
      </w:r>
    </w:p>
    <w:p w14:paraId="095B4646" w14:textId="77777777" w:rsidR="00D47991" w:rsidRDefault="00DF3F80">
      <w:pPr>
        <w:spacing w:after="160" w:line="480" w:lineRule="auto"/>
        <w:ind w:firstLine="720"/>
        <w:jc w:val="both"/>
        <w:rPr>
          <w:sz w:val="24"/>
          <w:szCs w:val="24"/>
          <w:highlight w:val="white"/>
        </w:rPr>
      </w:pPr>
      <w:r>
        <w:rPr>
          <w:sz w:val="24"/>
          <w:szCs w:val="24"/>
          <w:highlight w:val="white"/>
        </w:rPr>
        <w:t>(2009) ‘“They listened to my voice”: The Refugee Communities History Project and Belonging: Voices of London’s Refugees’, Oral History,</w:t>
      </w:r>
      <w:r>
        <w:rPr>
          <w:i/>
          <w:sz w:val="24"/>
          <w:szCs w:val="24"/>
          <w:highlight w:val="white"/>
        </w:rPr>
        <w:t xml:space="preserve"> </w:t>
      </w:r>
      <w:r>
        <w:rPr>
          <w:sz w:val="24"/>
          <w:szCs w:val="24"/>
          <w:highlight w:val="white"/>
        </w:rPr>
        <w:t>27</w:t>
      </w:r>
      <w:r>
        <w:rPr>
          <w:i/>
          <w:sz w:val="24"/>
          <w:szCs w:val="24"/>
          <w:highlight w:val="white"/>
        </w:rPr>
        <w:t xml:space="preserve"> </w:t>
      </w:r>
      <w:r>
        <w:rPr>
          <w:sz w:val="24"/>
          <w:szCs w:val="24"/>
          <w:highlight w:val="white"/>
        </w:rPr>
        <w:t>(1) 95-106.</w:t>
      </w:r>
    </w:p>
    <w:p w14:paraId="0DA393BF" w14:textId="77777777" w:rsidR="00D47991" w:rsidRDefault="00DF3F80">
      <w:pPr>
        <w:spacing w:after="160" w:line="480" w:lineRule="auto"/>
        <w:jc w:val="both"/>
        <w:rPr>
          <w:sz w:val="24"/>
          <w:szCs w:val="24"/>
        </w:rPr>
      </w:pPr>
      <w:r>
        <w:rPr>
          <w:sz w:val="24"/>
          <w:szCs w:val="24"/>
          <w:highlight w:val="white"/>
        </w:rPr>
        <w:t xml:space="preserve">Dovidio, J. F., Eller, A. and </w:t>
      </w:r>
      <w:proofErr w:type="spellStart"/>
      <w:r>
        <w:rPr>
          <w:sz w:val="24"/>
          <w:szCs w:val="24"/>
          <w:highlight w:val="white"/>
        </w:rPr>
        <w:t>Hewstone</w:t>
      </w:r>
      <w:proofErr w:type="spellEnd"/>
      <w:r>
        <w:rPr>
          <w:sz w:val="24"/>
          <w:szCs w:val="24"/>
          <w:highlight w:val="white"/>
        </w:rPr>
        <w:t xml:space="preserve">, M. (2011) ‘Improving Intergroup Relations </w:t>
      </w:r>
      <w:proofErr w:type="gramStart"/>
      <w:r>
        <w:rPr>
          <w:sz w:val="24"/>
          <w:szCs w:val="24"/>
          <w:highlight w:val="white"/>
        </w:rPr>
        <w:t>Through</w:t>
      </w:r>
      <w:proofErr w:type="gramEnd"/>
      <w:r>
        <w:rPr>
          <w:sz w:val="24"/>
          <w:szCs w:val="24"/>
          <w:highlight w:val="white"/>
        </w:rPr>
        <w:t xml:space="preserve"> Direct, Extended and Other Forms of Indirect Contact’, Group Processes &amp; Intergroup Relations</w:t>
      </w:r>
      <w:r>
        <w:rPr>
          <w:i/>
          <w:sz w:val="24"/>
          <w:szCs w:val="24"/>
          <w:highlight w:val="white"/>
        </w:rPr>
        <w:t xml:space="preserve">, </w:t>
      </w:r>
      <w:r>
        <w:rPr>
          <w:sz w:val="24"/>
          <w:szCs w:val="24"/>
          <w:highlight w:val="white"/>
        </w:rPr>
        <w:t>14</w:t>
      </w:r>
      <w:r>
        <w:rPr>
          <w:i/>
          <w:sz w:val="24"/>
          <w:szCs w:val="24"/>
          <w:highlight w:val="white"/>
        </w:rPr>
        <w:t xml:space="preserve"> (</w:t>
      </w:r>
      <w:r>
        <w:rPr>
          <w:sz w:val="24"/>
          <w:szCs w:val="24"/>
          <w:highlight w:val="white"/>
        </w:rPr>
        <w:t>2) 147-60.</w:t>
      </w:r>
    </w:p>
    <w:p w14:paraId="5767AF39" w14:textId="77777777" w:rsidR="00D47991" w:rsidRDefault="00DF3F80">
      <w:pPr>
        <w:spacing w:after="160" w:line="480" w:lineRule="auto"/>
        <w:jc w:val="both"/>
        <w:rPr>
          <w:sz w:val="24"/>
          <w:szCs w:val="24"/>
        </w:rPr>
      </w:pPr>
      <w:r>
        <w:rPr>
          <w:sz w:val="24"/>
          <w:szCs w:val="24"/>
        </w:rPr>
        <w:lastRenderedPageBreak/>
        <w:t>Ellis, C. and Patti, C. (2014) ‘With Heart: Compassionate Interviewing and Storytelling with Holocaust Survivors’, Storytelling, Self, Society</w:t>
      </w:r>
      <w:r>
        <w:rPr>
          <w:i/>
          <w:sz w:val="24"/>
          <w:szCs w:val="24"/>
        </w:rPr>
        <w:t>,</w:t>
      </w:r>
      <w:r>
        <w:rPr>
          <w:sz w:val="24"/>
          <w:szCs w:val="24"/>
        </w:rPr>
        <w:t xml:space="preserve"> 10 (1) 93-118. </w:t>
      </w:r>
    </w:p>
    <w:p w14:paraId="3FB9F752" w14:textId="77777777" w:rsidR="00D47991" w:rsidRDefault="00DF3F80">
      <w:pPr>
        <w:spacing w:after="160" w:line="480" w:lineRule="auto"/>
        <w:jc w:val="both"/>
        <w:rPr>
          <w:sz w:val="24"/>
          <w:szCs w:val="24"/>
        </w:rPr>
      </w:pPr>
      <w:r>
        <w:rPr>
          <w:sz w:val="24"/>
          <w:szCs w:val="24"/>
        </w:rPr>
        <w:t>Ellis, R. (1995) ‘Museums as Change Agents’,</w:t>
      </w:r>
      <w:r>
        <w:rPr>
          <w:i/>
          <w:sz w:val="24"/>
          <w:szCs w:val="24"/>
        </w:rPr>
        <w:t xml:space="preserve"> </w:t>
      </w:r>
      <w:r>
        <w:rPr>
          <w:sz w:val="24"/>
          <w:szCs w:val="24"/>
        </w:rPr>
        <w:t>Journal of Museum Education, 20 (2) 14-7.</w:t>
      </w:r>
    </w:p>
    <w:p w14:paraId="5C51E7EB" w14:textId="77777777" w:rsidR="00D47991" w:rsidRDefault="00DF3F80">
      <w:pPr>
        <w:spacing w:after="160" w:line="480" w:lineRule="auto"/>
        <w:jc w:val="both"/>
        <w:rPr>
          <w:sz w:val="24"/>
          <w:szCs w:val="24"/>
        </w:rPr>
      </w:pPr>
      <w:r>
        <w:rPr>
          <w:sz w:val="24"/>
          <w:szCs w:val="24"/>
        </w:rPr>
        <w:t>Finnegan, C. A. (2015) Making Photography Matter: A Viewer’s History from the Civil War to the Great Depression, Urbana-Champaign, IL: University of Illinois Press.</w:t>
      </w:r>
    </w:p>
    <w:p w14:paraId="4D3B0820" w14:textId="77777777" w:rsidR="00D47991" w:rsidRDefault="00DF3F80">
      <w:pPr>
        <w:spacing w:after="160" w:line="480" w:lineRule="auto"/>
        <w:jc w:val="both"/>
        <w:rPr>
          <w:sz w:val="24"/>
          <w:szCs w:val="24"/>
        </w:rPr>
      </w:pPr>
      <w:r>
        <w:rPr>
          <w:sz w:val="24"/>
          <w:szCs w:val="24"/>
        </w:rPr>
        <w:t xml:space="preserve">Fischer, D., </w:t>
      </w:r>
      <w:proofErr w:type="spellStart"/>
      <w:r>
        <w:rPr>
          <w:sz w:val="24"/>
          <w:szCs w:val="24"/>
        </w:rPr>
        <w:t>Anila</w:t>
      </w:r>
      <w:proofErr w:type="spellEnd"/>
      <w:r>
        <w:rPr>
          <w:sz w:val="24"/>
          <w:szCs w:val="24"/>
        </w:rPr>
        <w:t>, S. and Moore, P. (2017) ‘Coming Together to Address Systemic Racism in Museums’, The Museum Journal</w:t>
      </w:r>
      <w:r>
        <w:rPr>
          <w:i/>
          <w:sz w:val="24"/>
          <w:szCs w:val="24"/>
        </w:rPr>
        <w:t>,</w:t>
      </w:r>
      <w:r>
        <w:rPr>
          <w:sz w:val="24"/>
          <w:szCs w:val="24"/>
        </w:rPr>
        <w:t xml:space="preserve"> 60</w:t>
      </w:r>
      <w:r>
        <w:rPr>
          <w:i/>
          <w:sz w:val="24"/>
          <w:szCs w:val="24"/>
        </w:rPr>
        <w:t xml:space="preserve"> </w:t>
      </w:r>
      <w:r>
        <w:rPr>
          <w:sz w:val="24"/>
          <w:szCs w:val="24"/>
        </w:rPr>
        <w:t>(1) 23-31.</w:t>
      </w:r>
    </w:p>
    <w:p w14:paraId="6CB380B9" w14:textId="77777777" w:rsidR="00D47991" w:rsidRDefault="00DF3F80">
      <w:pPr>
        <w:widowControl w:val="0"/>
        <w:spacing w:after="160" w:line="480" w:lineRule="auto"/>
        <w:ind w:right="288"/>
        <w:jc w:val="both"/>
        <w:rPr>
          <w:sz w:val="24"/>
          <w:szCs w:val="24"/>
        </w:rPr>
      </w:pPr>
      <w:r>
        <w:rPr>
          <w:sz w:val="24"/>
          <w:szCs w:val="24"/>
        </w:rPr>
        <w:t>Fraser, N. (1997) Justice Interruptus: Critical Reflections on the ‘</w:t>
      </w:r>
      <w:proofErr w:type="spellStart"/>
      <w:r>
        <w:rPr>
          <w:sz w:val="24"/>
          <w:szCs w:val="24"/>
        </w:rPr>
        <w:t>Postsocialist</w:t>
      </w:r>
      <w:proofErr w:type="spellEnd"/>
      <w:r>
        <w:rPr>
          <w:sz w:val="24"/>
          <w:szCs w:val="24"/>
        </w:rPr>
        <w:t>’ Condition,</w:t>
      </w:r>
      <w:r>
        <w:rPr>
          <w:i/>
          <w:sz w:val="24"/>
          <w:szCs w:val="24"/>
        </w:rPr>
        <w:t xml:space="preserve"> </w:t>
      </w:r>
      <w:r>
        <w:rPr>
          <w:sz w:val="24"/>
          <w:szCs w:val="24"/>
        </w:rPr>
        <w:t>New York: Routledge.</w:t>
      </w:r>
    </w:p>
    <w:p w14:paraId="3D5E35E3" w14:textId="77777777" w:rsidR="00D47991" w:rsidRDefault="00DF3F80">
      <w:pPr>
        <w:widowControl w:val="0"/>
        <w:spacing w:after="160" w:line="480" w:lineRule="auto"/>
        <w:ind w:right="288"/>
        <w:jc w:val="both"/>
        <w:rPr>
          <w:sz w:val="24"/>
          <w:szCs w:val="24"/>
        </w:rPr>
      </w:pPr>
      <w:r>
        <w:rPr>
          <w:sz w:val="24"/>
          <w:szCs w:val="24"/>
        </w:rPr>
        <w:t>Freire, P. (1968) Pedagogy of the Oppressed, New York: Seabury Press.</w:t>
      </w:r>
    </w:p>
    <w:p w14:paraId="624628E5" w14:textId="77777777" w:rsidR="00D47991" w:rsidRDefault="00DF3F80">
      <w:pPr>
        <w:widowControl w:val="0"/>
        <w:spacing w:after="160" w:line="480" w:lineRule="auto"/>
        <w:ind w:right="288"/>
        <w:jc w:val="both"/>
        <w:rPr>
          <w:sz w:val="24"/>
          <w:szCs w:val="24"/>
        </w:rPr>
      </w:pPr>
      <w:r>
        <w:rPr>
          <w:sz w:val="24"/>
          <w:szCs w:val="24"/>
        </w:rPr>
        <w:t xml:space="preserve">Giroux, H. A. (2001) Public Spaces, Private Lives: Beyond the Culture of Cynicism, Lanham: Rowman &amp; Littlefield.  </w:t>
      </w:r>
    </w:p>
    <w:p w14:paraId="389BB474" w14:textId="77777777" w:rsidR="00D47991" w:rsidRDefault="00DF3F80">
      <w:pPr>
        <w:spacing w:after="160" w:line="480" w:lineRule="auto"/>
        <w:jc w:val="both"/>
        <w:rPr>
          <w:sz w:val="24"/>
          <w:szCs w:val="24"/>
        </w:rPr>
      </w:pPr>
      <w:proofErr w:type="spellStart"/>
      <w:r>
        <w:rPr>
          <w:sz w:val="24"/>
          <w:szCs w:val="24"/>
        </w:rPr>
        <w:t>Gokcigdem</w:t>
      </w:r>
      <w:proofErr w:type="spellEnd"/>
      <w:r>
        <w:rPr>
          <w:sz w:val="24"/>
          <w:szCs w:val="24"/>
        </w:rPr>
        <w:t>, E. M. (</w:t>
      </w:r>
      <w:proofErr w:type="spellStart"/>
      <w:proofErr w:type="gramStart"/>
      <w:r>
        <w:rPr>
          <w:sz w:val="24"/>
          <w:szCs w:val="24"/>
        </w:rPr>
        <w:t>ed</w:t>
      </w:r>
      <w:proofErr w:type="spellEnd"/>
      <w:proofErr w:type="gramEnd"/>
      <w:r>
        <w:rPr>
          <w:sz w:val="24"/>
          <w:szCs w:val="24"/>
        </w:rPr>
        <w:t>) (2016) Fostering Empathy Through Museums, Lanham: Rowman &amp; Littlefield.</w:t>
      </w:r>
    </w:p>
    <w:p w14:paraId="4866A91F" w14:textId="77777777" w:rsidR="00D47991" w:rsidRDefault="00DF3F80">
      <w:pPr>
        <w:spacing w:after="160" w:line="480" w:lineRule="auto"/>
        <w:ind w:firstLine="720"/>
        <w:jc w:val="both"/>
        <w:rPr>
          <w:sz w:val="24"/>
          <w:szCs w:val="24"/>
        </w:rPr>
      </w:pPr>
      <w:r>
        <w:rPr>
          <w:sz w:val="24"/>
          <w:szCs w:val="24"/>
        </w:rPr>
        <w:t>(</w:t>
      </w:r>
      <w:proofErr w:type="spellStart"/>
      <w:proofErr w:type="gramStart"/>
      <w:r>
        <w:rPr>
          <w:sz w:val="24"/>
          <w:szCs w:val="24"/>
        </w:rPr>
        <w:t>ed</w:t>
      </w:r>
      <w:proofErr w:type="spellEnd"/>
      <w:proofErr w:type="gramEnd"/>
      <w:r>
        <w:rPr>
          <w:sz w:val="24"/>
          <w:szCs w:val="24"/>
        </w:rPr>
        <w:t xml:space="preserve">) (2019) Designing for Empathy: Perspectives on the Museum Experience, Lanham: Roman &amp; Littlefield. </w:t>
      </w:r>
    </w:p>
    <w:p w14:paraId="2572E214" w14:textId="77777777" w:rsidR="00D47991" w:rsidRDefault="00DF3F80">
      <w:pPr>
        <w:spacing w:after="160" w:line="480" w:lineRule="auto"/>
        <w:jc w:val="both"/>
        <w:rPr>
          <w:sz w:val="24"/>
          <w:szCs w:val="24"/>
          <w:highlight w:val="white"/>
        </w:rPr>
      </w:pPr>
      <w:r>
        <w:rPr>
          <w:sz w:val="24"/>
          <w:szCs w:val="24"/>
          <w:highlight w:val="white"/>
        </w:rPr>
        <w:t xml:space="preserve">Golding, V. and Modest, W. (2013) Museums and Communities: Curators, Collections and Collaboration, London: Bloomsbury Academic. </w:t>
      </w:r>
    </w:p>
    <w:p w14:paraId="4357EE9C" w14:textId="77777777" w:rsidR="00D47991" w:rsidRDefault="00DF3F80">
      <w:pPr>
        <w:spacing w:after="160" w:line="480" w:lineRule="auto"/>
        <w:jc w:val="both"/>
        <w:rPr>
          <w:sz w:val="24"/>
          <w:szCs w:val="24"/>
          <w:highlight w:val="white"/>
        </w:rPr>
      </w:pPr>
      <w:r>
        <w:rPr>
          <w:sz w:val="24"/>
          <w:szCs w:val="24"/>
          <w:highlight w:val="white"/>
        </w:rPr>
        <w:t xml:space="preserve">Gonzales, E. (2020) Exhibitions for Social Justice, New York: Routledge. </w:t>
      </w:r>
    </w:p>
    <w:p w14:paraId="1F69AC3E" w14:textId="77777777" w:rsidR="00D47991" w:rsidRDefault="00DF3F80">
      <w:pPr>
        <w:spacing w:after="160" w:line="480" w:lineRule="auto"/>
        <w:jc w:val="both"/>
        <w:rPr>
          <w:sz w:val="24"/>
          <w:szCs w:val="24"/>
        </w:rPr>
      </w:pPr>
      <w:r>
        <w:rPr>
          <w:sz w:val="24"/>
          <w:szCs w:val="24"/>
        </w:rPr>
        <w:lastRenderedPageBreak/>
        <w:t xml:space="preserve">González, Norma, Moll, L. C. and </w:t>
      </w:r>
      <w:proofErr w:type="spellStart"/>
      <w:r>
        <w:rPr>
          <w:sz w:val="24"/>
          <w:szCs w:val="24"/>
        </w:rPr>
        <w:t>Amanti</w:t>
      </w:r>
      <w:proofErr w:type="spellEnd"/>
      <w:r>
        <w:rPr>
          <w:sz w:val="24"/>
          <w:szCs w:val="24"/>
        </w:rPr>
        <w:t>, C. (2005) Funds of Knowledge: Theorizing Practices in Households, Communities, and Classrooms. New York: Routledge.</w:t>
      </w:r>
    </w:p>
    <w:p w14:paraId="34018AA2" w14:textId="77777777" w:rsidR="00D47991" w:rsidRDefault="00DF3F80">
      <w:pPr>
        <w:spacing w:after="160" w:line="480" w:lineRule="auto"/>
        <w:jc w:val="both"/>
        <w:rPr>
          <w:sz w:val="24"/>
          <w:szCs w:val="24"/>
          <w:highlight w:val="white"/>
        </w:rPr>
      </w:pPr>
      <w:r>
        <w:rPr>
          <w:sz w:val="24"/>
          <w:szCs w:val="24"/>
          <w:highlight w:val="white"/>
        </w:rPr>
        <w:t>Green, A. (2007) ‘The Exhibition That Speaks for Itself: Oral history and Museums’ in Sheila Watson (</w:t>
      </w:r>
      <w:proofErr w:type="spellStart"/>
      <w:proofErr w:type="gramStart"/>
      <w:r>
        <w:rPr>
          <w:sz w:val="24"/>
          <w:szCs w:val="24"/>
          <w:highlight w:val="white"/>
        </w:rPr>
        <w:t>ed</w:t>
      </w:r>
      <w:proofErr w:type="spellEnd"/>
      <w:proofErr w:type="gramEnd"/>
      <w:r>
        <w:rPr>
          <w:sz w:val="24"/>
          <w:szCs w:val="24"/>
          <w:highlight w:val="white"/>
        </w:rPr>
        <w:t>) Museums and Their Communities</w:t>
      </w:r>
      <w:r>
        <w:rPr>
          <w:i/>
          <w:sz w:val="24"/>
          <w:szCs w:val="24"/>
          <w:highlight w:val="white"/>
        </w:rPr>
        <w:t xml:space="preserve">, </w:t>
      </w:r>
      <w:r>
        <w:rPr>
          <w:sz w:val="24"/>
          <w:szCs w:val="24"/>
          <w:highlight w:val="white"/>
        </w:rPr>
        <w:t>409-417,</w:t>
      </w:r>
      <w:r>
        <w:rPr>
          <w:i/>
          <w:sz w:val="24"/>
          <w:szCs w:val="24"/>
          <w:highlight w:val="white"/>
        </w:rPr>
        <w:t xml:space="preserve"> </w:t>
      </w:r>
      <w:r>
        <w:rPr>
          <w:sz w:val="24"/>
          <w:szCs w:val="24"/>
          <w:highlight w:val="white"/>
        </w:rPr>
        <w:t xml:space="preserve">New York: Routledge. </w:t>
      </w:r>
    </w:p>
    <w:p w14:paraId="3A3046F6" w14:textId="77777777" w:rsidR="00D47991" w:rsidRDefault="00DF3F80">
      <w:pPr>
        <w:spacing w:after="160" w:line="480" w:lineRule="auto"/>
        <w:jc w:val="both"/>
        <w:rPr>
          <w:sz w:val="24"/>
          <w:szCs w:val="24"/>
        </w:rPr>
      </w:pPr>
      <w:r>
        <w:rPr>
          <w:sz w:val="24"/>
          <w:szCs w:val="24"/>
        </w:rPr>
        <w:t>Griffiths, G. (1989) ‘Museums and the Practice of Oral History’, Oral History</w:t>
      </w:r>
      <w:r>
        <w:rPr>
          <w:i/>
          <w:sz w:val="24"/>
          <w:szCs w:val="24"/>
        </w:rPr>
        <w:t>,</w:t>
      </w:r>
      <w:r>
        <w:rPr>
          <w:sz w:val="24"/>
          <w:szCs w:val="24"/>
        </w:rPr>
        <w:t xml:space="preserve"> 17</w:t>
      </w:r>
      <w:r>
        <w:rPr>
          <w:i/>
          <w:sz w:val="24"/>
          <w:szCs w:val="24"/>
        </w:rPr>
        <w:t xml:space="preserve"> </w:t>
      </w:r>
      <w:r>
        <w:rPr>
          <w:sz w:val="24"/>
          <w:szCs w:val="24"/>
        </w:rPr>
        <w:t>(2) 49-52.</w:t>
      </w:r>
    </w:p>
    <w:p w14:paraId="691F2A99" w14:textId="77777777" w:rsidR="00D47991" w:rsidRDefault="00DF3F80">
      <w:pPr>
        <w:spacing w:after="160" w:line="480" w:lineRule="auto"/>
        <w:jc w:val="both"/>
        <w:rPr>
          <w:sz w:val="24"/>
          <w:szCs w:val="24"/>
        </w:rPr>
      </w:pPr>
      <w:proofErr w:type="spellStart"/>
      <w:r>
        <w:rPr>
          <w:sz w:val="24"/>
          <w:szCs w:val="24"/>
        </w:rPr>
        <w:t>Heldke</w:t>
      </w:r>
      <w:proofErr w:type="spellEnd"/>
      <w:r>
        <w:rPr>
          <w:sz w:val="24"/>
          <w:szCs w:val="24"/>
        </w:rPr>
        <w:t>, L. (2006) ‘</w:t>
      </w:r>
      <w:proofErr w:type="gramStart"/>
      <w:r>
        <w:rPr>
          <w:sz w:val="24"/>
          <w:szCs w:val="24"/>
        </w:rPr>
        <w:t>The</w:t>
      </w:r>
      <w:proofErr w:type="gramEnd"/>
      <w:r>
        <w:rPr>
          <w:sz w:val="24"/>
          <w:szCs w:val="24"/>
        </w:rPr>
        <w:t xml:space="preserve"> Radical Potential of Listening: A Preliminary Exploration’, Radical Philosophy Today 5, 25-46.</w:t>
      </w:r>
    </w:p>
    <w:p w14:paraId="6BB22A9D" w14:textId="77777777" w:rsidR="00D47991" w:rsidRDefault="00DF3F80">
      <w:pPr>
        <w:spacing w:after="160" w:line="480" w:lineRule="auto"/>
        <w:jc w:val="both"/>
        <w:rPr>
          <w:sz w:val="24"/>
          <w:szCs w:val="24"/>
          <w:highlight w:val="white"/>
        </w:rPr>
      </w:pPr>
      <w:proofErr w:type="spellStart"/>
      <w:r>
        <w:rPr>
          <w:sz w:val="24"/>
          <w:szCs w:val="24"/>
          <w:highlight w:val="white"/>
        </w:rPr>
        <w:t>Hirzy</w:t>
      </w:r>
      <w:proofErr w:type="spellEnd"/>
      <w:r>
        <w:rPr>
          <w:sz w:val="24"/>
          <w:szCs w:val="24"/>
          <w:highlight w:val="white"/>
        </w:rPr>
        <w:t>, E. C. (1992) Excellence and Equity, Education and the Public Dimensions of Museums: A report from the American Association of Museums, Washington, D.C.: American Association of Museum.</w:t>
      </w:r>
    </w:p>
    <w:p w14:paraId="2D19AC9E" w14:textId="77777777" w:rsidR="00D47991" w:rsidRDefault="00DF3F80">
      <w:pPr>
        <w:spacing w:after="160" w:line="480" w:lineRule="auto"/>
        <w:jc w:val="both"/>
        <w:rPr>
          <w:sz w:val="24"/>
          <w:szCs w:val="24"/>
          <w:highlight w:val="white"/>
        </w:rPr>
      </w:pPr>
      <w:r>
        <w:rPr>
          <w:sz w:val="24"/>
          <w:szCs w:val="24"/>
          <w:highlight w:val="white"/>
        </w:rPr>
        <w:t xml:space="preserve">Hooper-Greenhill, E. (2008) Museums and the Interpretation of Visual Culture, London: Routledge. </w:t>
      </w:r>
    </w:p>
    <w:p w14:paraId="4CFFEC4F" w14:textId="77777777" w:rsidR="00D47991" w:rsidRDefault="00DF3F80">
      <w:pPr>
        <w:spacing w:after="160" w:line="480" w:lineRule="auto"/>
        <w:ind w:firstLine="720"/>
        <w:jc w:val="both"/>
        <w:rPr>
          <w:i/>
          <w:sz w:val="24"/>
          <w:szCs w:val="24"/>
          <w:highlight w:val="white"/>
        </w:rPr>
      </w:pPr>
      <w:r>
        <w:rPr>
          <w:sz w:val="24"/>
          <w:szCs w:val="24"/>
          <w:highlight w:val="white"/>
        </w:rPr>
        <w:t>(1992) Museums and the Shaping of Knowledge</w:t>
      </w:r>
      <w:r>
        <w:rPr>
          <w:i/>
          <w:sz w:val="24"/>
          <w:szCs w:val="24"/>
          <w:highlight w:val="white"/>
        </w:rPr>
        <w:t xml:space="preserve">, </w:t>
      </w:r>
      <w:r>
        <w:rPr>
          <w:sz w:val="24"/>
          <w:szCs w:val="24"/>
          <w:highlight w:val="white"/>
        </w:rPr>
        <w:t xml:space="preserve">London: Routledge. </w:t>
      </w:r>
    </w:p>
    <w:p w14:paraId="11197469" w14:textId="77777777" w:rsidR="00D47991" w:rsidRDefault="00DF3F80">
      <w:pPr>
        <w:spacing w:after="160" w:line="480" w:lineRule="auto"/>
        <w:jc w:val="both"/>
        <w:rPr>
          <w:sz w:val="24"/>
          <w:szCs w:val="24"/>
          <w:highlight w:val="white"/>
        </w:rPr>
      </w:pPr>
      <w:r>
        <w:rPr>
          <w:sz w:val="24"/>
          <w:szCs w:val="24"/>
          <w:highlight w:val="white"/>
        </w:rPr>
        <w:t xml:space="preserve">Janes, R. and </w:t>
      </w:r>
      <w:proofErr w:type="spellStart"/>
      <w:r>
        <w:rPr>
          <w:sz w:val="24"/>
          <w:szCs w:val="24"/>
          <w:highlight w:val="white"/>
        </w:rPr>
        <w:t>Sandell</w:t>
      </w:r>
      <w:proofErr w:type="spellEnd"/>
      <w:r>
        <w:rPr>
          <w:sz w:val="24"/>
          <w:szCs w:val="24"/>
          <w:highlight w:val="white"/>
        </w:rPr>
        <w:t>, R. (</w:t>
      </w:r>
      <w:proofErr w:type="spellStart"/>
      <w:proofErr w:type="gramStart"/>
      <w:r>
        <w:rPr>
          <w:sz w:val="24"/>
          <w:szCs w:val="24"/>
          <w:highlight w:val="white"/>
        </w:rPr>
        <w:t>eds</w:t>
      </w:r>
      <w:proofErr w:type="spellEnd"/>
      <w:proofErr w:type="gramEnd"/>
      <w:r>
        <w:rPr>
          <w:sz w:val="24"/>
          <w:szCs w:val="24"/>
          <w:highlight w:val="white"/>
        </w:rPr>
        <w:t xml:space="preserve">) (2019) Museum Activism, London: Routledge. </w:t>
      </w:r>
    </w:p>
    <w:p w14:paraId="18938E3A" w14:textId="77777777" w:rsidR="00D47991" w:rsidRDefault="00DF3F80">
      <w:pPr>
        <w:spacing w:after="160" w:line="480" w:lineRule="auto"/>
        <w:jc w:val="both"/>
        <w:rPr>
          <w:sz w:val="24"/>
          <w:szCs w:val="24"/>
          <w:highlight w:val="white"/>
        </w:rPr>
      </w:pPr>
      <w:r>
        <w:rPr>
          <w:sz w:val="24"/>
          <w:szCs w:val="24"/>
          <w:highlight w:val="white"/>
        </w:rPr>
        <w:t>Jennings, G. and Jones-</w:t>
      </w:r>
      <w:proofErr w:type="spellStart"/>
      <w:r>
        <w:rPr>
          <w:sz w:val="24"/>
          <w:szCs w:val="24"/>
          <w:highlight w:val="white"/>
        </w:rPr>
        <w:t>Rizzi</w:t>
      </w:r>
      <w:proofErr w:type="spellEnd"/>
      <w:r>
        <w:rPr>
          <w:sz w:val="24"/>
          <w:szCs w:val="24"/>
          <w:highlight w:val="white"/>
        </w:rPr>
        <w:t xml:space="preserve">, J. (2017) ‘Museums, White Privilege, and Diversity: A Systemic Perspective’, Dimensions 18 (5), Special Edition, 63-74. </w:t>
      </w:r>
    </w:p>
    <w:p w14:paraId="6FC415BE" w14:textId="77777777" w:rsidR="00D47991" w:rsidRDefault="00DF3F80">
      <w:pPr>
        <w:spacing w:after="160" w:line="480" w:lineRule="auto"/>
        <w:jc w:val="both"/>
        <w:rPr>
          <w:sz w:val="24"/>
          <w:szCs w:val="24"/>
          <w:highlight w:val="white"/>
        </w:rPr>
      </w:pPr>
      <w:r>
        <w:rPr>
          <w:sz w:val="24"/>
          <w:szCs w:val="24"/>
          <w:highlight w:val="white"/>
        </w:rPr>
        <w:t>Julius, C. (2008) ‘”Digging [D]</w:t>
      </w:r>
      <w:proofErr w:type="spellStart"/>
      <w:r>
        <w:rPr>
          <w:sz w:val="24"/>
          <w:szCs w:val="24"/>
          <w:highlight w:val="white"/>
        </w:rPr>
        <w:t>eeper</w:t>
      </w:r>
      <w:proofErr w:type="spellEnd"/>
      <w:r>
        <w:rPr>
          <w:sz w:val="24"/>
          <w:szCs w:val="24"/>
          <w:highlight w:val="white"/>
        </w:rPr>
        <w:t xml:space="preserve"> than the Eye Approves’: Oral Histories and Their Use in the Digging Deeper Exhibition of the District Six Museum’, </w:t>
      </w:r>
      <w:r>
        <w:rPr>
          <w:i/>
          <w:sz w:val="24"/>
          <w:szCs w:val="24"/>
          <w:highlight w:val="white"/>
        </w:rPr>
        <w:t xml:space="preserve">Kronos, </w:t>
      </w:r>
      <w:r>
        <w:rPr>
          <w:sz w:val="24"/>
          <w:szCs w:val="24"/>
          <w:highlight w:val="white"/>
        </w:rPr>
        <w:t>34 (1) 106-38.</w:t>
      </w:r>
    </w:p>
    <w:p w14:paraId="50830F96" w14:textId="77777777" w:rsidR="00D47991" w:rsidRDefault="00DF3F80">
      <w:pPr>
        <w:spacing w:after="160" w:line="480" w:lineRule="auto"/>
        <w:jc w:val="both"/>
        <w:rPr>
          <w:sz w:val="24"/>
          <w:szCs w:val="24"/>
          <w:highlight w:val="white"/>
        </w:rPr>
      </w:pPr>
      <w:r>
        <w:rPr>
          <w:sz w:val="24"/>
          <w:szCs w:val="24"/>
          <w:highlight w:val="white"/>
        </w:rPr>
        <w:lastRenderedPageBreak/>
        <w:t xml:space="preserve">Karp, I., </w:t>
      </w:r>
      <w:proofErr w:type="spellStart"/>
      <w:r>
        <w:rPr>
          <w:sz w:val="24"/>
          <w:szCs w:val="24"/>
          <w:highlight w:val="white"/>
        </w:rPr>
        <w:t>Kreamer</w:t>
      </w:r>
      <w:proofErr w:type="spellEnd"/>
      <w:r>
        <w:rPr>
          <w:sz w:val="24"/>
          <w:szCs w:val="24"/>
          <w:highlight w:val="white"/>
        </w:rPr>
        <w:t xml:space="preserve">, C., M. and </w:t>
      </w:r>
      <w:proofErr w:type="spellStart"/>
      <w:r>
        <w:rPr>
          <w:sz w:val="24"/>
          <w:szCs w:val="24"/>
          <w:highlight w:val="white"/>
        </w:rPr>
        <w:t>Lavine</w:t>
      </w:r>
      <w:proofErr w:type="spellEnd"/>
      <w:r>
        <w:rPr>
          <w:sz w:val="24"/>
          <w:szCs w:val="24"/>
          <w:highlight w:val="white"/>
        </w:rPr>
        <w:t>, S. D. (</w:t>
      </w:r>
      <w:proofErr w:type="spellStart"/>
      <w:proofErr w:type="gramStart"/>
      <w:r>
        <w:rPr>
          <w:sz w:val="24"/>
          <w:szCs w:val="24"/>
          <w:highlight w:val="white"/>
        </w:rPr>
        <w:t>eds</w:t>
      </w:r>
      <w:proofErr w:type="spellEnd"/>
      <w:proofErr w:type="gramEnd"/>
      <w:r>
        <w:rPr>
          <w:sz w:val="24"/>
          <w:szCs w:val="24"/>
          <w:highlight w:val="white"/>
        </w:rPr>
        <w:t xml:space="preserve">) (1992) Museums and Communities: The Politics of Public Culture, Washington, D.C.: Smithsonian Institution. </w:t>
      </w:r>
    </w:p>
    <w:p w14:paraId="4EF9C72E" w14:textId="77777777" w:rsidR="00D47991" w:rsidRDefault="00DF3F80">
      <w:pPr>
        <w:spacing w:after="160" w:line="480" w:lineRule="auto"/>
        <w:jc w:val="both"/>
        <w:rPr>
          <w:sz w:val="24"/>
          <w:szCs w:val="24"/>
        </w:rPr>
      </w:pPr>
      <w:r>
        <w:rPr>
          <w:sz w:val="24"/>
          <w:szCs w:val="24"/>
          <w:highlight w:val="white"/>
        </w:rPr>
        <w:t>Kushner, T. (2001) ‘Oral History at the Extremes of Human Experience: Holocaust Testimony in a Museum Setting’, Oral History</w:t>
      </w:r>
      <w:r>
        <w:rPr>
          <w:i/>
          <w:sz w:val="24"/>
          <w:szCs w:val="24"/>
          <w:highlight w:val="white"/>
        </w:rPr>
        <w:t>,</w:t>
      </w:r>
      <w:r>
        <w:rPr>
          <w:sz w:val="24"/>
          <w:szCs w:val="24"/>
          <w:highlight w:val="white"/>
        </w:rPr>
        <w:t xml:space="preserve"> 29 (2) 83-94. </w:t>
      </w:r>
    </w:p>
    <w:p w14:paraId="5F5B19CF" w14:textId="77777777" w:rsidR="00D47991" w:rsidRDefault="00DF3F80">
      <w:pPr>
        <w:spacing w:after="160" w:line="480" w:lineRule="auto"/>
        <w:jc w:val="both"/>
        <w:rPr>
          <w:sz w:val="24"/>
          <w:szCs w:val="24"/>
        </w:rPr>
      </w:pPr>
      <w:proofErr w:type="spellStart"/>
      <w:r>
        <w:rPr>
          <w:sz w:val="24"/>
          <w:szCs w:val="24"/>
        </w:rPr>
        <w:t>Langstraat</w:t>
      </w:r>
      <w:proofErr w:type="spellEnd"/>
      <w:r>
        <w:rPr>
          <w:sz w:val="24"/>
          <w:szCs w:val="24"/>
        </w:rPr>
        <w:t xml:space="preserve">, L. and </w:t>
      </w:r>
      <w:proofErr w:type="spellStart"/>
      <w:r>
        <w:rPr>
          <w:sz w:val="24"/>
          <w:szCs w:val="24"/>
        </w:rPr>
        <w:t>Bowdom</w:t>
      </w:r>
      <w:proofErr w:type="spellEnd"/>
      <w:r>
        <w:rPr>
          <w:sz w:val="24"/>
          <w:szCs w:val="24"/>
        </w:rPr>
        <w:t>, M. (2011) ‘Service Learning and Critical Emotion Studies: On the Perils of Empathy and the Politics of Compassion’, Michigan Journal of Community Service Learning</w:t>
      </w:r>
      <w:r>
        <w:rPr>
          <w:i/>
          <w:sz w:val="24"/>
          <w:szCs w:val="24"/>
        </w:rPr>
        <w:t>,</w:t>
      </w:r>
      <w:r>
        <w:rPr>
          <w:sz w:val="24"/>
          <w:szCs w:val="24"/>
        </w:rPr>
        <w:t xml:space="preserve"> 17 (2) 5-14.</w:t>
      </w:r>
    </w:p>
    <w:p w14:paraId="44F9FBD5" w14:textId="77777777" w:rsidR="00D47991" w:rsidRDefault="00DF3F80">
      <w:pPr>
        <w:spacing w:after="160" w:line="480" w:lineRule="auto"/>
        <w:jc w:val="both"/>
        <w:rPr>
          <w:sz w:val="24"/>
          <w:szCs w:val="24"/>
        </w:rPr>
      </w:pPr>
      <w:proofErr w:type="spellStart"/>
      <w:r>
        <w:rPr>
          <w:sz w:val="24"/>
          <w:szCs w:val="24"/>
        </w:rPr>
        <w:t>Lonetree</w:t>
      </w:r>
      <w:proofErr w:type="spellEnd"/>
      <w:r>
        <w:rPr>
          <w:sz w:val="24"/>
          <w:szCs w:val="24"/>
        </w:rPr>
        <w:t>, A. (2012) Decolonizing Museums: Representing Native America in National and Tribal Museums, Los Angeles: University of California Press.</w:t>
      </w:r>
    </w:p>
    <w:p w14:paraId="453EE7DB" w14:textId="77777777" w:rsidR="00D47991" w:rsidRDefault="00DF3F80">
      <w:pPr>
        <w:spacing w:after="160" w:line="480" w:lineRule="auto"/>
        <w:jc w:val="both"/>
        <w:rPr>
          <w:sz w:val="24"/>
          <w:szCs w:val="24"/>
        </w:rPr>
      </w:pPr>
      <w:r>
        <w:rPr>
          <w:sz w:val="24"/>
          <w:szCs w:val="24"/>
        </w:rPr>
        <w:t>Lowry, S. and Duke, A. (2015) ‘Foundling Voices: Placing Oral History at the Heart of an Oral History Exhibition’, in Robert Perks and Alistair Thomson (</w:t>
      </w:r>
      <w:proofErr w:type="spellStart"/>
      <w:proofErr w:type="gramStart"/>
      <w:r>
        <w:rPr>
          <w:sz w:val="24"/>
          <w:szCs w:val="24"/>
        </w:rPr>
        <w:t>eds</w:t>
      </w:r>
      <w:proofErr w:type="spellEnd"/>
      <w:proofErr w:type="gramEnd"/>
      <w:r>
        <w:rPr>
          <w:sz w:val="24"/>
          <w:szCs w:val="24"/>
        </w:rPr>
        <w:t>) The Oral History Reader, third edition, 508-21, New York: Routledge.</w:t>
      </w:r>
    </w:p>
    <w:p w14:paraId="19518F5B" w14:textId="77777777" w:rsidR="00D47991" w:rsidRDefault="00DF3F80">
      <w:pPr>
        <w:spacing w:after="160" w:line="480" w:lineRule="auto"/>
        <w:jc w:val="both"/>
        <w:rPr>
          <w:strike/>
          <w:sz w:val="24"/>
          <w:szCs w:val="24"/>
        </w:rPr>
      </w:pPr>
      <w:r>
        <w:rPr>
          <w:sz w:val="24"/>
          <w:szCs w:val="24"/>
        </w:rPr>
        <w:t xml:space="preserve">Lynch, B. (2020) ‘Neither Helpful Nor Unhelpful – A Clear Way Forward For the Useful Museum’ in Adele Chynoweth, Bernadette Lynch, Klaus Peterson and Sarah </w:t>
      </w:r>
      <w:proofErr w:type="spellStart"/>
      <w:r>
        <w:rPr>
          <w:sz w:val="24"/>
          <w:szCs w:val="24"/>
        </w:rPr>
        <w:t>Smed</w:t>
      </w:r>
      <w:proofErr w:type="spellEnd"/>
      <w:r>
        <w:rPr>
          <w:sz w:val="24"/>
          <w:szCs w:val="24"/>
        </w:rPr>
        <w:t xml:space="preserve"> (</w:t>
      </w:r>
      <w:proofErr w:type="spellStart"/>
      <w:r>
        <w:rPr>
          <w:sz w:val="24"/>
          <w:szCs w:val="24"/>
        </w:rPr>
        <w:t>eds</w:t>
      </w:r>
      <w:proofErr w:type="spellEnd"/>
      <w:r>
        <w:rPr>
          <w:sz w:val="24"/>
          <w:szCs w:val="24"/>
        </w:rPr>
        <w:t>) Museums and Social Change: Challenging the Unhelpful Museum, 1-32, London: Routledge.</w:t>
      </w:r>
    </w:p>
    <w:p w14:paraId="68F564E2" w14:textId="77777777" w:rsidR="00D47991" w:rsidRDefault="00DF3F80">
      <w:pPr>
        <w:shd w:val="clear" w:color="auto" w:fill="FFFFFF"/>
        <w:spacing w:after="160" w:line="480" w:lineRule="auto"/>
        <w:jc w:val="both"/>
        <w:rPr>
          <w:sz w:val="24"/>
          <w:szCs w:val="24"/>
        </w:rPr>
      </w:pPr>
      <w:r>
        <w:rPr>
          <w:sz w:val="24"/>
          <w:szCs w:val="24"/>
          <w:highlight w:val="white"/>
        </w:rPr>
        <w:t xml:space="preserve">Lynch, B. and </w:t>
      </w:r>
      <w:proofErr w:type="spellStart"/>
      <w:r>
        <w:rPr>
          <w:sz w:val="24"/>
          <w:szCs w:val="24"/>
          <w:highlight w:val="white"/>
        </w:rPr>
        <w:t>Alberti</w:t>
      </w:r>
      <w:proofErr w:type="spellEnd"/>
      <w:r>
        <w:rPr>
          <w:sz w:val="24"/>
          <w:szCs w:val="24"/>
          <w:highlight w:val="white"/>
        </w:rPr>
        <w:t>, S. J. M. M. (2010) ‘Legacies of Prejudice: Racism, Co-production and Radical Trust in the Museum’, Museum Management and Curatorship</w:t>
      </w:r>
      <w:r>
        <w:rPr>
          <w:i/>
          <w:sz w:val="24"/>
          <w:szCs w:val="24"/>
          <w:highlight w:val="white"/>
        </w:rPr>
        <w:t xml:space="preserve">, </w:t>
      </w:r>
      <w:r>
        <w:rPr>
          <w:sz w:val="24"/>
          <w:szCs w:val="24"/>
          <w:highlight w:val="white"/>
        </w:rPr>
        <w:t>25</w:t>
      </w:r>
      <w:r>
        <w:rPr>
          <w:i/>
          <w:sz w:val="24"/>
          <w:szCs w:val="24"/>
          <w:highlight w:val="white"/>
        </w:rPr>
        <w:t xml:space="preserve"> </w:t>
      </w:r>
      <w:r>
        <w:rPr>
          <w:sz w:val="24"/>
          <w:szCs w:val="24"/>
          <w:highlight w:val="white"/>
        </w:rPr>
        <w:t>(1) 13-35.</w:t>
      </w:r>
    </w:p>
    <w:p w14:paraId="292C0F3D" w14:textId="77777777" w:rsidR="00D47991" w:rsidRDefault="00DF3F80">
      <w:pPr>
        <w:shd w:val="clear" w:color="auto" w:fill="FFFFFF"/>
        <w:spacing w:after="160" w:line="480" w:lineRule="auto"/>
        <w:jc w:val="both"/>
        <w:rPr>
          <w:sz w:val="24"/>
          <w:szCs w:val="24"/>
        </w:rPr>
      </w:pPr>
      <w:r>
        <w:rPr>
          <w:sz w:val="24"/>
          <w:szCs w:val="24"/>
        </w:rPr>
        <w:t>Mayo, P. (2013) ‘Museums as Sites of Critical Pedagogical Practice’ in Review of Education, Pedagogy and Cultural Studies, 35 (2) 14-153.</w:t>
      </w:r>
    </w:p>
    <w:p w14:paraId="1A516889" w14:textId="77777777" w:rsidR="00D47991" w:rsidRDefault="00DF3F80">
      <w:pPr>
        <w:spacing w:after="160" w:line="480" w:lineRule="auto"/>
        <w:jc w:val="both"/>
        <w:rPr>
          <w:sz w:val="24"/>
          <w:szCs w:val="24"/>
        </w:rPr>
      </w:pPr>
      <w:r>
        <w:rPr>
          <w:sz w:val="24"/>
          <w:szCs w:val="24"/>
        </w:rPr>
        <w:lastRenderedPageBreak/>
        <w:t>McDonnell, J. A. (2003) ‘Documenting Cultural and Historical Memory: Oral History in the National Park Service’, Oral History Review</w:t>
      </w:r>
      <w:r>
        <w:rPr>
          <w:i/>
          <w:sz w:val="24"/>
          <w:szCs w:val="24"/>
        </w:rPr>
        <w:t xml:space="preserve">, </w:t>
      </w:r>
      <w:r>
        <w:rPr>
          <w:sz w:val="24"/>
          <w:szCs w:val="24"/>
        </w:rPr>
        <w:t>30 (2) 99-109.</w:t>
      </w:r>
    </w:p>
    <w:p w14:paraId="40240D49" w14:textId="77777777" w:rsidR="00D47991" w:rsidRDefault="00DF3F80">
      <w:pPr>
        <w:spacing w:after="160" w:line="480" w:lineRule="auto"/>
        <w:jc w:val="both"/>
        <w:rPr>
          <w:sz w:val="24"/>
          <w:szCs w:val="24"/>
        </w:rPr>
      </w:pPr>
      <w:proofErr w:type="spellStart"/>
      <w:r>
        <w:rPr>
          <w:sz w:val="24"/>
          <w:szCs w:val="24"/>
        </w:rPr>
        <w:t>Momaya</w:t>
      </w:r>
      <w:proofErr w:type="spellEnd"/>
      <w:r>
        <w:rPr>
          <w:sz w:val="24"/>
          <w:szCs w:val="24"/>
        </w:rPr>
        <w:t>, M., (2018) ‘Ten Principles for an Anti-Racist, Anti-Orientalist, Activist Approach to Collections’, in Elizabeth Wood, Rainey Tisdale, and Trevor Jones (</w:t>
      </w:r>
      <w:proofErr w:type="spellStart"/>
      <w:r>
        <w:rPr>
          <w:sz w:val="24"/>
          <w:szCs w:val="24"/>
        </w:rPr>
        <w:t>eds</w:t>
      </w:r>
      <w:proofErr w:type="spellEnd"/>
      <w:r>
        <w:rPr>
          <w:sz w:val="24"/>
          <w:szCs w:val="24"/>
        </w:rPr>
        <w:t>) Active Collections</w:t>
      </w:r>
      <w:r>
        <w:rPr>
          <w:i/>
          <w:sz w:val="24"/>
          <w:szCs w:val="24"/>
        </w:rPr>
        <w:t xml:space="preserve">, </w:t>
      </w:r>
      <w:r>
        <w:rPr>
          <w:sz w:val="24"/>
          <w:szCs w:val="24"/>
        </w:rPr>
        <w:t xml:space="preserve">13-20, New York: Routledge.  </w:t>
      </w:r>
    </w:p>
    <w:p w14:paraId="421E883B" w14:textId="77777777" w:rsidR="00D47991" w:rsidRDefault="00DF3F80">
      <w:pPr>
        <w:spacing w:line="480" w:lineRule="auto"/>
        <w:jc w:val="both"/>
        <w:rPr>
          <w:sz w:val="24"/>
          <w:szCs w:val="24"/>
          <w:highlight w:val="white"/>
        </w:rPr>
      </w:pPr>
      <w:r>
        <w:rPr>
          <w:sz w:val="24"/>
          <w:szCs w:val="24"/>
        </w:rPr>
        <w:t>Museums Association (2017) Po</w:t>
      </w:r>
      <w:r>
        <w:rPr>
          <w:sz w:val="24"/>
          <w:szCs w:val="24"/>
          <w:highlight w:val="white"/>
        </w:rPr>
        <w:t>wer and Privilege in the 21</w:t>
      </w:r>
      <w:r>
        <w:rPr>
          <w:sz w:val="24"/>
          <w:szCs w:val="24"/>
          <w:highlight w:val="white"/>
          <w:vertAlign w:val="superscript"/>
        </w:rPr>
        <w:t>st</w:t>
      </w:r>
      <w:r>
        <w:rPr>
          <w:sz w:val="24"/>
          <w:szCs w:val="24"/>
          <w:highlight w:val="white"/>
        </w:rPr>
        <w:t xml:space="preserve"> Century Museum: Tactics for Change from the Museums Association Transformers Programme</w:t>
      </w:r>
      <w:r>
        <w:rPr>
          <w:sz w:val="24"/>
          <w:szCs w:val="24"/>
        </w:rPr>
        <w:t xml:space="preserve">, London: Museums Association. </w:t>
      </w:r>
      <w:r>
        <w:rPr>
          <w:sz w:val="24"/>
          <w:szCs w:val="24"/>
          <w:highlight w:val="white"/>
        </w:rPr>
        <w:t xml:space="preserve"> </w:t>
      </w:r>
    </w:p>
    <w:p w14:paraId="285D09B0" w14:textId="77777777" w:rsidR="00D47991" w:rsidRDefault="001823EA">
      <w:pPr>
        <w:spacing w:after="160" w:line="480" w:lineRule="auto"/>
        <w:jc w:val="both"/>
        <w:rPr>
          <w:sz w:val="24"/>
          <w:szCs w:val="24"/>
          <w:highlight w:val="white"/>
        </w:rPr>
      </w:pPr>
      <w:hyperlink r:id="rId16">
        <w:r w:rsidR="00DF3F80">
          <w:rPr>
            <w:sz w:val="24"/>
            <w:szCs w:val="24"/>
            <w:highlight w:val="white"/>
          </w:rPr>
          <w:t>https://www.museumsassociation.org/campaigns/power-and-privilege-21st-century-museum</w:t>
        </w:r>
      </w:hyperlink>
      <w:r w:rsidR="00DF3F80">
        <w:rPr>
          <w:sz w:val="24"/>
          <w:szCs w:val="24"/>
        </w:rPr>
        <w:t>, accessed 27 December 2020.</w:t>
      </w:r>
    </w:p>
    <w:p w14:paraId="14497F01" w14:textId="77777777" w:rsidR="00D47991" w:rsidRDefault="00DF3F80">
      <w:pPr>
        <w:spacing w:after="160" w:line="480" w:lineRule="auto"/>
        <w:jc w:val="both"/>
        <w:rPr>
          <w:sz w:val="24"/>
          <w:szCs w:val="24"/>
          <w:highlight w:val="white"/>
        </w:rPr>
      </w:pPr>
      <w:r>
        <w:rPr>
          <w:sz w:val="24"/>
          <w:szCs w:val="24"/>
          <w:highlight w:val="white"/>
        </w:rPr>
        <w:t>Ng, W., Ware, S. M., and Greenberg, A. (2017) ‘Activating Diversity and Inclusion: A Blueprint for Museum Educators as Allies and Change Makers’, Journal of Museum Education</w:t>
      </w:r>
      <w:r>
        <w:rPr>
          <w:i/>
          <w:sz w:val="24"/>
          <w:szCs w:val="24"/>
          <w:highlight w:val="white"/>
        </w:rPr>
        <w:t xml:space="preserve">, </w:t>
      </w:r>
      <w:r>
        <w:rPr>
          <w:sz w:val="24"/>
          <w:szCs w:val="24"/>
          <w:highlight w:val="white"/>
        </w:rPr>
        <w:t>42</w:t>
      </w:r>
      <w:r>
        <w:rPr>
          <w:i/>
          <w:sz w:val="24"/>
          <w:szCs w:val="24"/>
          <w:highlight w:val="white"/>
        </w:rPr>
        <w:t xml:space="preserve"> </w:t>
      </w:r>
      <w:r>
        <w:rPr>
          <w:sz w:val="24"/>
          <w:szCs w:val="24"/>
          <w:highlight w:val="white"/>
        </w:rPr>
        <w:t>(2) 142-54.</w:t>
      </w:r>
    </w:p>
    <w:p w14:paraId="629A0993" w14:textId="77777777" w:rsidR="00D47991" w:rsidRDefault="00DF3F80">
      <w:pPr>
        <w:spacing w:after="160" w:line="480" w:lineRule="auto"/>
        <w:jc w:val="both"/>
        <w:rPr>
          <w:sz w:val="24"/>
          <w:szCs w:val="24"/>
        </w:rPr>
      </w:pPr>
      <w:r>
        <w:rPr>
          <w:sz w:val="24"/>
          <w:szCs w:val="24"/>
        </w:rPr>
        <w:t xml:space="preserve">Nielson, </w:t>
      </w:r>
      <w:proofErr w:type="spellStart"/>
      <w:r>
        <w:rPr>
          <w:sz w:val="24"/>
          <w:szCs w:val="24"/>
        </w:rPr>
        <w:t>A.P</w:t>
      </w:r>
      <w:proofErr w:type="spellEnd"/>
      <w:r>
        <w:rPr>
          <w:sz w:val="24"/>
          <w:szCs w:val="24"/>
        </w:rPr>
        <w:t xml:space="preserve">. and Bader, M. (2017) ‘The Psychology of Empathy: Compelling Possibilities Museums’, in </w:t>
      </w:r>
      <w:proofErr w:type="spellStart"/>
      <w:r>
        <w:rPr>
          <w:sz w:val="24"/>
          <w:szCs w:val="24"/>
        </w:rPr>
        <w:t>Elif</w:t>
      </w:r>
      <w:proofErr w:type="spellEnd"/>
      <w:r>
        <w:rPr>
          <w:sz w:val="24"/>
          <w:szCs w:val="24"/>
        </w:rPr>
        <w:t xml:space="preserve"> </w:t>
      </w:r>
      <w:proofErr w:type="spellStart"/>
      <w:r>
        <w:rPr>
          <w:sz w:val="24"/>
          <w:szCs w:val="24"/>
        </w:rPr>
        <w:t>Gokcigdem</w:t>
      </w:r>
      <w:proofErr w:type="spellEnd"/>
      <w:r>
        <w:rPr>
          <w:sz w:val="24"/>
          <w:szCs w:val="24"/>
        </w:rPr>
        <w:t xml:space="preserve"> (</w:t>
      </w:r>
      <w:proofErr w:type="spellStart"/>
      <w:proofErr w:type="gramStart"/>
      <w:r>
        <w:rPr>
          <w:sz w:val="24"/>
          <w:szCs w:val="24"/>
        </w:rPr>
        <w:t>ed</w:t>
      </w:r>
      <w:proofErr w:type="spellEnd"/>
      <w:proofErr w:type="gramEnd"/>
      <w:r>
        <w:rPr>
          <w:sz w:val="24"/>
          <w:szCs w:val="24"/>
        </w:rPr>
        <w:t>) Fostering Empathy in Museums</w:t>
      </w:r>
      <w:r>
        <w:rPr>
          <w:i/>
          <w:sz w:val="24"/>
          <w:szCs w:val="24"/>
        </w:rPr>
        <w:t>,</w:t>
      </w:r>
      <w:r>
        <w:rPr>
          <w:sz w:val="24"/>
          <w:szCs w:val="24"/>
        </w:rPr>
        <w:t xml:space="preserve"> 115-30, London: Rowman &amp; Littlefield. </w:t>
      </w:r>
    </w:p>
    <w:p w14:paraId="4A6E3FCB" w14:textId="77777777" w:rsidR="00D47991" w:rsidRDefault="00DF3F80">
      <w:pPr>
        <w:spacing w:after="160" w:line="480" w:lineRule="auto"/>
        <w:jc w:val="both"/>
        <w:rPr>
          <w:sz w:val="24"/>
          <w:szCs w:val="24"/>
        </w:rPr>
      </w:pPr>
      <w:r>
        <w:rPr>
          <w:sz w:val="24"/>
          <w:szCs w:val="24"/>
        </w:rPr>
        <w:t xml:space="preserve">Nightingale, E. and </w:t>
      </w:r>
      <w:proofErr w:type="spellStart"/>
      <w:r>
        <w:rPr>
          <w:sz w:val="24"/>
          <w:szCs w:val="24"/>
        </w:rPr>
        <w:t>Sandell</w:t>
      </w:r>
      <w:proofErr w:type="spellEnd"/>
      <w:r>
        <w:rPr>
          <w:sz w:val="24"/>
          <w:szCs w:val="24"/>
        </w:rPr>
        <w:t xml:space="preserve">, R. (2012) ‘Introduction to Museums, Equality, and Social Justice’, in Richard </w:t>
      </w:r>
      <w:proofErr w:type="spellStart"/>
      <w:r>
        <w:rPr>
          <w:sz w:val="24"/>
          <w:szCs w:val="24"/>
        </w:rPr>
        <w:t>Sandell</w:t>
      </w:r>
      <w:proofErr w:type="spellEnd"/>
      <w:r>
        <w:rPr>
          <w:sz w:val="24"/>
          <w:szCs w:val="24"/>
        </w:rPr>
        <w:t xml:space="preserve"> and </w:t>
      </w:r>
      <w:proofErr w:type="spellStart"/>
      <w:r>
        <w:rPr>
          <w:sz w:val="24"/>
          <w:szCs w:val="24"/>
        </w:rPr>
        <w:t>Eithne</w:t>
      </w:r>
      <w:proofErr w:type="spellEnd"/>
      <w:r>
        <w:rPr>
          <w:sz w:val="24"/>
          <w:szCs w:val="24"/>
        </w:rPr>
        <w:t xml:space="preserve"> Nightingale (</w:t>
      </w:r>
      <w:proofErr w:type="spellStart"/>
      <w:r>
        <w:rPr>
          <w:sz w:val="24"/>
          <w:szCs w:val="24"/>
        </w:rPr>
        <w:t>eds</w:t>
      </w:r>
      <w:proofErr w:type="spellEnd"/>
      <w:r>
        <w:rPr>
          <w:sz w:val="24"/>
          <w:szCs w:val="24"/>
        </w:rPr>
        <w:t>) Museums, Equality, and Social Justice, 1-10, New York: Routledge.</w:t>
      </w:r>
    </w:p>
    <w:p w14:paraId="02921E19" w14:textId="77777777" w:rsidR="00D47991" w:rsidRDefault="00DF3F80">
      <w:pPr>
        <w:spacing w:after="160" w:line="480" w:lineRule="auto"/>
        <w:jc w:val="both"/>
        <w:rPr>
          <w:sz w:val="24"/>
          <w:szCs w:val="24"/>
        </w:rPr>
      </w:pPr>
      <w:r>
        <w:rPr>
          <w:sz w:val="24"/>
          <w:szCs w:val="24"/>
          <w:highlight w:val="white"/>
        </w:rPr>
        <w:t xml:space="preserve">North, C. E. (2006) ‘More </w:t>
      </w:r>
      <w:proofErr w:type="gramStart"/>
      <w:r>
        <w:rPr>
          <w:sz w:val="24"/>
          <w:szCs w:val="24"/>
          <w:highlight w:val="white"/>
        </w:rPr>
        <w:t>Than</w:t>
      </w:r>
      <w:proofErr w:type="gramEnd"/>
      <w:r>
        <w:rPr>
          <w:sz w:val="24"/>
          <w:szCs w:val="24"/>
          <w:highlight w:val="white"/>
        </w:rPr>
        <w:t xml:space="preserve"> Words? Delving into the Substantive Meaning(s) of “Social Justice” in Education’, Review of Educational Research</w:t>
      </w:r>
      <w:r>
        <w:rPr>
          <w:i/>
          <w:sz w:val="24"/>
          <w:szCs w:val="24"/>
          <w:highlight w:val="white"/>
        </w:rPr>
        <w:t>,</w:t>
      </w:r>
      <w:r>
        <w:rPr>
          <w:sz w:val="24"/>
          <w:szCs w:val="24"/>
          <w:highlight w:val="white"/>
        </w:rPr>
        <w:t xml:space="preserve"> 76</w:t>
      </w:r>
      <w:r>
        <w:rPr>
          <w:i/>
          <w:sz w:val="24"/>
          <w:szCs w:val="24"/>
          <w:highlight w:val="white"/>
        </w:rPr>
        <w:t xml:space="preserve"> </w:t>
      </w:r>
      <w:r>
        <w:rPr>
          <w:sz w:val="24"/>
          <w:szCs w:val="24"/>
          <w:highlight w:val="white"/>
        </w:rPr>
        <w:t>(4) 507–35.</w:t>
      </w:r>
    </w:p>
    <w:p w14:paraId="3A996645" w14:textId="77777777" w:rsidR="00D47991" w:rsidRDefault="00DF3F80">
      <w:pPr>
        <w:spacing w:after="160" w:line="480" w:lineRule="auto"/>
        <w:jc w:val="both"/>
        <w:rPr>
          <w:sz w:val="24"/>
          <w:szCs w:val="24"/>
          <w:highlight w:val="white"/>
        </w:rPr>
      </w:pPr>
      <w:proofErr w:type="spellStart"/>
      <w:r>
        <w:rPr>
          <w:sz w:val="24"/>
          <w:szCs w:val="24"/>
          <w:highlight w:val="white"/>
        </w:rPr>
        <w:lastRenderedPageBreak/>
        <w:t>Orloff</w:t>
      </w:r>
      <w:proofErr w:type="spellEnd"/>
      <w:r>
        <w:rPr>
          <w:sz w:val="24"/>
          <w:szCs w:val="24"/>
          <w:highlight w:val="white"/>
        </w:rPr>
        <w:t>, C. (2017) ‘Forum: Should Museums Change Our Mission and Become Agencies of Social Justice?</w:t>
      </w:r>
      <w:proofErr w:type="gramStart"/>
      <w:r>
        <w:rPr>
          <w:sz w:val="24"/>
          <w:szCs w:val="24"/>
          <w:highlight w:val="white"/>
        </w:rPr>
        <w:t>’,</w:t>
      </w:r>
      <w:proofErr w:type="gramEnd"/>
      <w:r>
        <w:rPr>
          <w:sz w:val="24"/>
          <w:szCs w:val="24"/>
          <w:highlight w:val="white"/>
        </w:rPr>
        <w:t xml:space="preserve"> </w:t>
      </w:r>
      <w:r>
        <w:rPr>
          <w:i/>
          <w:sz w:val="24"/>
          <w:szCs w:val="24"/>
          <w:highlight w:val="white"/>
        </w:rPr>
        <w:t>Curator: The Museum Journal</w:t>
      </w:r>
      <w:r>
        <w:rPr>
          <w:sz w:val="24"/>
          <w:szCs w:val="24"/>
          <w:highlight w:val="white"/>
        </w:rPr>
        <w:t>,</w:t>
      </w:r>
      <w:r>
        <w:rPr>
          <w:i/>
          <w:sz w:val="24"/>
          <w:szCs w:val="24"/>
          <w:highlight w:val="white"/>
        </w:rPr>
        <w:t xml:space="preserve"> </w:t>
      </w:r>
      <w:r>
        <w:rPr>
          <w:sz w:val="24"/>
          <w:szCs w:val="24"/>
          <w:highlight w:val="white"/>
        </w:rPr>
        <w:t>60</w:t>
      </w:r>
      <w:r>
        <w:rPr>
          <w:i/>
          <w:sz w:val="24"/>
          <w:szCs w:val="24"/>
          <w:highlight w:val="white"/>
        </w:rPr>
        <w:t xml:space="preserve"> </w:t>
      </w:r>
      <w:r>
        <w:rPr>
          <w:sz w:val="24"/>
          <w:szCs w:val="24"/>
          <w:highlight w:val="white"/>
        </w:rPr>
        <w:t xml:space="preserve">(1) 33-6. </w:t>
      </w:r>
    </w:p>
    <w:p w14:paraId="29F53FF5" w14:textId="77777777" w:rsidR="00D47991" w:rsidRDefault="00DF3F80">
      <w:pPr>
        <w:spacing w:after="160" w:line="480" w:lineRule="auto"/>
        <w:jc w:val="both"/>
        <w:rPr>
          <w:sz w:val="24"/>
          <w:szCs w:val="24"/>
          <w:highlight w:val="white"/>
        </w:rPr>
      </w:pPr>
      <w:r>
        <w:rPr>
          <w:sz w:val="24"/>
          <w:szCs w:val="24"/>
          <w:highlight w:val="white"/>
        </w:rPr>
        <w:t>Peers, L. L. and Brown, A. K. (2003) Museums and Source Communities: A Routledge Reader, London: Routledge.</w:t>
      </w:r>
    </w:p>
    <w:p w14:paraId="40A37125" w14:textId="77777777" w:rsidR="00D47991" w:rsidRDefault="00DF3F80">
      <w:pPr>
        <w:spacing w:after="160" w:line="480" w:lineRule="auto"/>
        <w:jc w:val="both"/>
        <w:rPr>
          <w:sz w:val="24"/>
          <w:szCs w:val="24"/>
          <w:highlight w:val="white"/>
        </w:rPr>
      </w:pPr>
      <w:r>
        <w:rPr>
          <w:sz w:val="24"/>
          <w:szCs w:val="24"/>
          <w:highlight w:val="white"/>
        </w:rPr>
        <w:t>Perks, R. (1991) ‘Ellis Island Immigration Museum, New York’, Oral History,</w:t>
      </w:r>
      <w:r>
        <w:rPr>
          <w:i/>
          <w:sz w:val="24"/>
          <w:szCs w:val="24"/>
          <w:highlight w:val="white"/>
        </w:rPr>
        <w:t xml:space="preserve"> </w:t>
      </w:r>
      <w:r>
        <w:rPr>
          <w:sz w:val="24"/>
          <w:szCs w:val="24"/>
          <w:highlight w:val="white"/>
        </w:rPr>
        <w:t>19 (1) 79-80.</w:t>
      </w:r>
    </w:p>
    <w:p w14:paraId="59387BCC" w14:textId="77777777" w:rsidR="00D47991" w:rsidRDefault="00DF3F80">
      <w:pPr>
        <w:spacing w:after="160" w:line="480" w:lineRule="auto"/>
        <w:jc w:val="both"/>
        <w:rPr>
          <w:sz w:val="24"/>
          <w:szCs w:val="24"/>
        </w:rPr>
      </w:pPr>
      <w:r>
        <w:rPr>
          <w:sz w:val="24"/>
          <w:szCs w:val="24"/>
          <w:highlight w:val="white"/>
        </w:rPr>
        <w:t xml:space="preserve">Pettigrew, T. F. and </w:t>
      </w:r>
      <w:proofErr w:type="spellStart"/>
      <w:r>
        <w:rPr>
          <w:sz w:val="24"/>
          <w:szCs w:val="24"/>
          <w:highlight w:val="white"/>
        </w:rPr>
        <w:t>Tropp</w:t>
      </w:r>
      <w:proofErr w:type="spellEnd"/>
      <w:r>
        <w:rPr>
          <w:sz w:val="24"/>
          <w:szCs w:val="24"/>
          <w:highlight w:val="white"/>
        </w:rPr>
        <w:t>, L. R. (2006) ‘A Meta-Analytic Test of Intergroup Contact Theory’, Journal of Personality and Social Psychology</w:t>
      </w:r>
      <w:r>
        <w:rPr>
          <w:i/>
          <w:sz w:val="24"/>
          <w:szCs w:val="24"/>
          <w:highlight w:val="white"/>
        </w:rPr>
        <w:t xml:space="preserve">, </w:t>
      </w:r>
      <w:r>
        <w:rPr>
          <w:sz w:val="24"/>
          <w:szCs w:val="24"/>
          <w:highlight w:val="white"/>
        </w:rPr>
        <w:t>90</w:t>
      </w:r>
      <w:r>
        <w:rPr>
          <w:i/>
          <w:sz w:val="24"/>
          <w:szCs w:val="24"/>
          <w:highlight w:val="white"/>
        </w:rPr>
        <w:t xml:space="preserve"> </w:t>
      </w:r>
      <w:r>
        <w:rPr>
          <w:sz w:val="24"/>
          <w:szCs w:val="24"/>
          <w:highlight w:val="white"/>
        </w:rPr>
        <w:t>(5) 751-83.</w:t>
      </w:r>
    </w:p>
    <w:p w14:paraId="66F21567" w14:textId="77777777" w:rsidR="00D47991" w:rsidRDefault="00DF3F80">
      <w:pPr>
        <w:spacing w:after="160" w:line="480" w:lineRule="auto"/>
        <w:jc w:val="both"/>
        <w:rPr>
          <w:sz w:val="24"/>
          <w:szCs w:val="24"/>
        </w:rPr>
      </w:pPr>
      <w:r>
        <w:rPr>
          <w:sz w:val="24"/>
          <w:szCs w:val="24"/>
        </w:rPr>
        <w:t xml:space="preserve">Reilly, M. (2018) Curatorial Activism: Toward an Ethics of Curating. London: Thames &amp; Hudson. </w:t>
      </w:r>
    </w:p>
    <w:p w14:paraId="4622F9BE" w14:textId="0B893515" w:rsidR="00631971" w:rsidRDefault="00631971">
      <w:pPr>
        <w:spacing w:after="160" w:line="480" w:lineRule="auto"/>
        <w:jc w:val="both"/>
        <w:rPr>
          <w:sz w:val="24"/>
          <w:szCs w:val="24"/>
        </w:rPr>
      </w:pPr>
      <w:r>
        <w:rPr>
          <w:sz w:val="24"/>
          <w:szCs w:val="24"/>
        </w:rPr>
        <w:t xml:space="preserve">Roberts, L. (1997) From Knowledge to Narrative: Educators and the Changing Museum, Washington, DC: Smithsonian Books </w:t>
      </w:r>
    </w:p>
    <w:p w14:paraId="702BF784" w14:textId="77777777" w:rsidR="00D47991" w:rsidRDefault="00DF3F80">
      <w:pPr>
        <w:spacing w:after="160" w:line="480" w:lineRule="auto"/>
        <w:jc w:val="both"/>
        <w:rPr>
          <w:sz w:val="24"/>
          <w:szCs w:val="24"/>
        </w:rPr>
      </w:pPr>
      <w:proofErr w:type="spellStart"/>
      <w:r>
        <w:rPr>
          <w:sz w:val="24"/>
          <w:szCs w:val="24"/>
        </w:rPr>
        <w:t>Sandell</w:t>
      </w:r>
      <w:proofErr w:type="spellEnd"/>
      <w:r>
        <w:rPr>
          <w:sz w:val="24"/>
          <w:szCs w:val="24"/>
        </w:rPr>
        <w:t xml:space="preserve">, R. (2002) ‘Museums and the Combatting of Social Inequality: Roles, Responsibilities, Resistance’, in Richard </w:t>
      </w:r>
      <w:proofErr w:type="spellStart"/>
      <w:r>
        <w:rPr>
          <w:sz w:val="24"/>
          <w:szCs w:val="24"/>
        </w:rPr>
        <w:t>Sandell</w:t>
      </w:r>
      <w:proofErr w:type="spellEnd"/>
      <w:r>
        <w:rPr>
          <w:sz w:val="24"/>
          <w:szCs w:val="24"/>
        </w:rPr>
        <w:t xml:space="preserve"> (</w:t>
      </w:r>
      <w:proofErr w:type="spellStart"/>
      <w:proofErr w:type="gramStart"/>
      <w:r>
        <w:rPr>
          <w:sz w:val="24"/>
          <w:szCs w:val="24"/>
        </w:rPr>
        <w:t>ed</w:t>
      </w:r>
      <w:proofErr w:type="spellEnd"/>
      <w:proofErr w:type="gramEnd"/>
      <w:r>
        <w:rPr>
          <w:sz w:val="24"/>
          <w:szCs w:val="24"/>
        </w:rPr>
        <w:t>) Museums, Society, Inequality, 3-23, New York: Routledge.</w:t>
      </w:r>
    </w:p>
    <w:p w14:paraId="61C380C2" w14:textId="77777777" w:rsidR="00D47991" w:rsidRDefault="00DF3F80">
      <w:pPr>
        <w:spacing w:after="160" w:line="480" w:lineRule="auto"/>
        <w:ind w:firstLine="720"/>
        <w:jc w:val="both"/>
        <w:rPr>
          <w:sz w:val="24"/>
          <w:szCs w:val="24"/>
        </w:rPr>
      </w:pPr>
      <w:r>
        <w:rPr>
          <w:sz w:val="24"/>
          <w:szCs w:val="24"/>
        </w:rPr>
        <w:t xml:space="preserve">(2007) Museums, Prejudice, and the Reframing of Difference, New York: </w:t>
      </w:r>
      <w:r>
        <w:rPr>
          <w:sz w:val="24"/>
          <w:szCs w:val="24"/>
        </w:rPr>
        <w:br/>
        <w:t>Routledge.</w:t>
      </w:r>
    </w:p>
    <w:p w14:paraId="242F6B6B" w14:textId="77777777" w:rsidR="00D47991" w:rsidRDefault="00DF3F80">
      <w:pPr>
        <w:spacing w:after="160" w:line="480" w:lineRule="auto"/>
        <w:ind w:firstLine="720"/>
        <w:jc w:val="both"/>
        <w:rPr>
          <w:i/>
          <w:sz w:val="24"/>
          <w:szCs w:val="24"/>
        </w:rPr>
      </w:pPr>
      <w:r>
        <w:rPr>
          <w:sz w:val="24"/>
          <w:szCs w:val="24"/>
        </w:rPr>
        <w:t xml:space="preserve">(2012) ‘Museums and the Human Rights Frame’, in Richard </w:t>
      </w:r>
      <w:proofErr w:type="spellStart"/>
      <w:r>
        <w:rPr>
          <w:sz w:val="24"/>
          <w:szCs w:val="24"/>
        </w:rPr>
        <w:t>Sandell</w:t>
      </w:r>
      <w:proofErr w:type="spellEnd"/>
      <w:r>
        <w:rPr>
          <w:sz w:val="24"/>
          <w:szCs w:val="24"/>
        </w:rPr>
        <w:t xml:space="preserve"> and </w:t>
      </w:r>
      <w:proofErr w:type="spellStart"/>
      <w:r>
        <w:rPr>
          <w:sz w:val="24"/>
          <w:szCs w:val="24"/>
        </w:rPr>
        <w:t>Eithne</w:t>
      </w:r>
      <w:proofErr w:type="spellEnd"/>
      <w:r>
        <w:rPr>
          <w:sz w:val="24"/>
          <w:szCs w:val="24"/>
        </w:rPr>
        <w:t xml:space="preserve"> Nightingale (</w:t>
      </w:r>
      <w:proofErr w:type="spellStart"/>
      <w:r>
        <w:rPr>
          <w:sz w:val="24"/>
          <w:szCs w:val="24"/>
        </w:rPr>
        <w:t>eds</w:t>
      </w:r>
      <w:proofErr w:type="spellEnd"/>
      <w:r>
        <w:rPr>
          <w:sz w:val="24"/>
          <w:szCs w:val="24"/>
        </w:rPr>
        <w:t>) Museums, Equality, and Social Justice</w:t>
      </w:r>
      <w:r>
        <w:rPr>
          <w:i/>
          <w:sz w:val="24"/>
          <w:szCs w:val="24"/>
        </w:rPr>
        <w:t xml:space="preserve">, </w:t>
      </w:r>
      <w:r>
        <w:rPr>
          <w:sz w:val="24"/>
          <w:szCs w:val="24"/>
        </w:rPr>
        <w:t>195-215, New York: Routledge.</w:t>
      </w:r>
    </w:p>
    <w:p w14:paraId="4A38B2A6" w14:textId="77777777" w:rsidR="00D47991" w:rsidRDefault="00DF3F80">
      <w:pPr>
        <w:spacing w:after="160" w:line="480" w:lineRule="auto"/>
        <w:jc w:val="both"/>
        <w:rPr>
          <w:sz w:val="24"/>
          <w:szCs w:val="24"/>
        </w:rPr>
      </w:pPr>
      <w:proofErr w:type="spellStart"/>
      <w:r>
        <w:rPr>
          <w:sz w:val="24"/>
          <w:szCs w:val="24"/>
        </w:rPr>
        <w:t>Serrell</w:t>
      </w:r>
      <w:proofErr w:type="spellEnd"/>
      <w:r>
        <w:rPr>
          <w:sz w:val="24"/>
          <w:szCs w:val="24"/>
        </w:rPr>
        <w:t>, B. (1997) ‘Paying Attention: The Duration and Allocation of Visitors’ Time in Museum Exhibitions’, Curator</w:t>
      </w:r>
      <w:r>
        <w:rPr>
          <w:i/>
          <w:sz w:val="24"/>
          <w:szCs w:val="24"/>
        </w:rPr>
        <w:t>,</w:t>
      </w:r>
      <w:r>
        <w:rPr>
          <w:sz w:val="24"/>
          <w:szCs w:val="24"/>
        </w:rPr>
        <w:t xml:space="preserve"> 40 (2) 108-25. </w:t>
      </w:r>
    </w:p>
    <w:p w14:paraId="7C2A6EC8" w14:textId="77777777" w:rsidR="00D47991" w:rsidRDefault="00DF3F80">
      <w:pPr>
        <w:spacing w:after="160" w:line="480" w:lineRule="auto"/>
        <w:jc w:val="both"/>
        <w:rPr>
          <w:sz w:val="24"/>
          <w:szCs w:val="24"/>
        </w:rPr>
      </w:pPr>
      <w:r>
        <w:rPr>
          <w:sz w:val="24"/>
          <w:szCs w:val="24"/>
        </w:rPr>
        <w:lastRenderedPageBreak/>
        <w:t>Simon, R. I. (2011) ‘A Shock to Thought: Curatorial Judgment and the Public Exhibition of ‘Difficult Knowledge’, Memory Studies, 4 (4) 432-49.</w:t>
      </w:r>
    </w:p>
    <w:p w14:paraId="02E8DEC1" w14:textId="77777777" w:rsidR="00D47991" w:rsidRDefault="00DF3F80">
      <w:pPr>
        <w:shd w:val="clear" w:color="auto" w:fill="FFFFFF"/>
        <w:spacing w:after="160" w:line="480" w:lineRule="auto"/>
        <w:jc w:val="both"/>
        <w:rPr>
          <w:sz w:val="24"/>
          <w:szCs w:val="24"/>
        </w:rPr>
      </w:pPr>
      <w:r>
        <w:rPr>
          <w:sz w:val="24"/>
          <w:szCs w:val="24"/>
        </w:rPr>
        <w:t xml:space="preserve">Solórzano, D. G. and </w:t>
      </w:r>
      <w:proofErr w:type="spellStart"/>
      <w:r>
        <w:rPr>
          <w:sz w:val="24"/>
          <w:szCs w:val="24"/>
        </w:rPr>
        <w:t>Yosso</w:t>
      </w:r>
      <w:proofErr w:type="spellEnd"/>
      <w:r>
        <w:rPr>
          <w:sz w:val="24"/>
          <w:szCs w:val="24"/>
        </w:rPr>
        <w:t>, T. J. (2016) ‘Critical Race Methodology: Counter-Storytelling as an Analytical Framework for Education Research’, Qualitative Inquiry</w:t>
      </w:r>
      <w:r>
        <w:rPr>
          <w:i/>
          <w:sz w:val="24"/>
          <w:szCs w:val="24"/>
        </w:rPr>
        <w:t>,</w:t>
      </w:r>
      <w:r>
        <w:rPr>
          <w:sz w:val="24"/>
          <w:szCs w:val="24"/>
        </w:rPr>
        <w:t xml:space="preserve"> 8 (1) 23–44. </w:t>
      </w:r>
    </w:p>
    <w:p w14:paraId="3AB63B66" w14:textId="77777777" w:rsidR="00D47991" w:rsidRDefault="00DF3F80">
      <w:pPr>
        <w:spacing w:after="160" w:line="480" w:lineRule="auto"/>
        <w:jc w:val="both"/>
        <w:rPr>
          <w:sz w:val="24"/>
          <w:szCs w:val="24"/>
        </w:rPr>
      </w:pPr>
      <w:proofErr w:type="spellStart"/>
      <w:r>
        <w:rPr>
          <w:sz w:val="24"/>
          <w:szCs w:val="24"/>
        </w:rPr>
        <w:t>Teslow</w:t>
      </w:r>
      <w:proofErr w:type="spellEnd"/>
      <w:r>
        <w:rPr>
          <w:sz w:val="24"/>
          <w:szCs w:val="24"/>
        </w:rPr>
        <w:t>, T. (2007) ‘A Troubled Legacy: Making and Unmaking Race in the Museum’, Museums and Social Issues</w:t>
      </w:r>
      <w:r>
        <w:rPr>
          <w:i/>
          <w:sz w:val="24"/>
          <w:szCs w:val="24"/>
        </w:rPr>
        <w:t>,</w:t>
      </w:r>
      <w:r>
        <w:rPr>
          <w:sz w:val="24"/>
          <w:szCs w:val="24"/>
        </w:rPr>
        <w:t xml:space="preserve"> </w:t>
      </w:r>
      <w:r>
        <w:rPr>
          <w:i/>
          <w:sz w:val="24"/>
          <w:szCs w:val="24"/>
        </w:rPr>
        <w:t xml:space="preserve">2 </w:t>
      </w:r>
      <w:r>
        <w:rPr>
          <w:sz w:val="24"/>
          <w:szCs w:val="24"/>
        </w:rPr>
        <w:t xml:space="preserve">(1) 11-44. </w:t>
      </w:r>
    </w:p>
    <w:p w14:paraId="7C11951D" w14:textId="77777777" w:rsidR="00D47991" w:rsidRDefault="00DF3F80">
      <w:pPr>
        <w:spacing w:after="160" w:line="480" w:lineRule="auto"/>
        <w:jc w:val="both"/>
        <w:rPr>
          <w:sz w:val="24"/>
          <w:szCs w:val="24"/>
        </w:rPr>
      </w:pPr>
      <w:proofErr w:type="spellStart"/>
      <w:r>
        <w:rPr>
          <w:sz w:val="24"/>
          <w:szCs w:val="24"/>
        </w:rPr>
        <w:t>Tongo</w:t>
      </w:r>
      <w:proofErr w:type="spellEnd"/>
      <w:r>
        <w:rPr>
          <w:sz w:val="24"/>
          <w:szCs w:val="24"/>
        </w:rPr>
        <w:t>, N. (2006) ‘A Critical Analysis of Oral History Methods in Collecting Memories of the Past: A Case Study of the Robben Island Museum Ex-Political Reference Group Project: Oral history in Museums’, South African Museums Association Bulletin,</w:t>
      </w:r>
      <w:r>
        <w:rPr>
          <w:i/>
          <w:sz w:val="24"/>
          <w:szCs w:val="24"/>
        </w:rPr>
        <w:t xml:space="preserve"> </w:t>
      </w:r>
      <w:r>
        <w:rPr>
          <w:sz w:val="24"/>
          <w:szCs w:val="24"/>
        </w:rPr>
        <w:t>32</w:t>
      </w:r>
      <w:r>
        <w:rPr>
          <w:i/>
          <w:sz w:val="24"/>
          <w:szCs w:val="24"/>
        </w:rPr>
        <w:t xml:space="preserve"> </w:t>
      </w:r>
      <w:r>
        <w:rPr>
          <w:sz w:val="24"/>
          <w:szCs w:val="24"/>
        </w:rPr>
        <w:t>(1) 60-4.</w:t>
      </w:r>
    </w:p>
    <w:p w14:paraId="4992814E" w14:textId="77777777" w:rsidR="00D47991" w:rsidRDefault="00DF3F80">
      <w:pPr>
        <w:spacing w:after="160" w:line="480" w:lineRule="auto"/>
        <w:jc w:val="both"/>
        <w:rPr>
          <w:sz w:val="24"/>
          <w:szCs w:val="24"/>
        </w:rPr>
      </w:pPr>
      <w:proofErr w:type="spellStart"/>
      <w:r>
        <w:rPr>
          <w:sz w:val="24"/>
          <w:szCs w:val="24"/>
          <w:highlight w:val="white"/>
        </w:rPr>
        <w:t>Wagaman</w:t>
      </w:r>
      <w:proofErr w:type="spellEnd"/>
      <w:r>
        <w:rPr>
          <w:sz w:val="24"/>
          <w:szCs w:val="24"/>
          <w:highlight w:val="white"/>
        </w:rPr>
        <w:t xml:space="preserve">, M. A., </w:t>
      </w:r>
      <w:proofErr w:type="spellStart"/>
      <w:r>
        <w:rPr>
          <w:sz w:val="24"/>
          <w:szCs w:val="24"/>
          <w:highlight w:val="white"/>
        </w:rPr>
        <w:t>Obejero</w:t>
      </w:r>
      <w:proofErr w:type="spellEnd"/>
      <w:r>
        <w:rPr>
          <w:sz w:val="24"/>
          <w:szCs w:val="24"/>
          <w:highlight w:val="white"/>
        </w:rPr>
        <w:t>, R. C., and Gregory, J. S. (2018) ‘Countering the Norm, (Re)authoring Our Lives</w:t>
      </w:r>
      <w:r>
        <w:rPr>
          <w:sz w:val="24"/>
          <w:szCs w:val="24"/>
        </w:rPr>
        <w:t>’, International Journal of Qualitative Methods</w:t>
      </w:r>
      <w:r>
        <w:rPr>
          <w:sz w:val="24"/>
          <w:szCs w:val="24"/>
          <w:highlight w:val="white"/>
        </w:rPr>
        <w:t xml:space="preserve">, </w:t>
      </w:r>
      <w:r>
        <w:rPr>
          <w:sz w:val="24"/>
          <w:szCs w:val="24"/>
        </w:rPr>
        <w:t>17</w:t>
      </w:r>
      <w:r>
        <w:rPr>
          <w:sz w:val="24"/>
          <w:szCs w:val="24"/>
          <w:highlight w:val="white"/>
        </w:rPr>
        <w:t>(1) 1-11.</w:t>
      </w:r>
    </w:p>
    <w:p w14:paraId="14776C46" w14:textId="77777777" w:rsidR="00D47991" w:rsidRDefault="00DF3F80">
      <w:pPr>
        <w:spacing w:after="160" w:line="480" w:lineRule="auto"/>
        <w:jc w:val="both"/>
        <w:rPr>
          <w:sz w:val="24"/>
          <w:szCs w:val="24"/>
        </w:rPr>
      </w:pPr>
      <w:r>
        <w:rPr>
          <w:sz w:val="24"/>
          <w:szCs w:val="24"/>
        </w:rPr>
        <w:t>Watson, S. (</w:t>
      </w:r>
      <w:proofErr w:type="spellStart"/>
      <w:proofErr w:type="gramStart"/>
      <w:r>
        <w:rPr>
          <w:sz w:val="24"/>
          <w:szCs w:val="24"/>
        </w:rPr>
        <w:t>ed</w:t>
      </w:r>
      <w:proofErr w:type="spellEnd"/>
      <w:proofErr w:type="gramEnd"/>
      <w:r>
        <w:rPr>
          <w:sz w:val="24"/>
          <w:szCs w:val="24"/>
        </w:rPr>
        <w:t>) (2007) Museums and Their Communities</w:t>
      </w:r>
      <w:r>
        <w:rPr>
          <w:i/>
          <w:sz w:val="24"/>
          <w:szCs w:val="24"/>
        </w:rPr>
        <w:t>,</w:t>
      </w:r>
      <w:r>
        <w:rPr>
          <w:sz w:val="24"/>
          <w:szCs w:val="24"/>
        </w:rPr>
        <w:t xml:space="preserve"> New York: Routledge.</w:t>
      </w:r>
    </w:p>
    <w:p w14:paraId="4481723A" w14:textId="77777777" w:rsidR="00D47991" w:rsidRDefault="00DF3F80">
      <w:pPr>
        <w:spacing w:after="160" w:line="480" w:lineRule="auto"/>
        <w:jc w:val="both"/>
        <w:rPr>
          <w:sz w:val="24"/>
          <w:szCs w:val="24"/>
        </w:rPr>
      </w:pPr>
      <w:r>
        <w:rPr>
          <w:sz w:val="24"/>
          <w:szCs w:val="24"/>
        </w:rPr>
        <w:t xml:space="preserve">Westheimer, J., and </w:t>
      </w:r>
      <w:proofErr w:type="spellStart"/>
      <w:r>
        <w:rPr>
          <w:sz w:val="24"/>
          <w:szCs w:val="24"/>
        </w:rPr>
        <w:t>Kahne</w:t>
      </w:r>
      <w:proofErr w:type="spellEnd"/>
      <w:r>
        <w:rPr>
          <w:sz w:val="24"/>
          <w:szCs w:val="24"/>
        </w:rPr>
        <w:t>, J. (2004). Educating the “Good” Citizen: Political Choices and Pedagogical Goals. PS: Political Science &amp; Politics, 37 (2), 241-247.</w:t>
      </w:r>
    </w:p>
    <w:p w14:paraId="3507E8C6" w14:textId="77777777" w:rsidR="00D47991" w:rsidRDefault="00DF3F80">
      <w:pPr>
        <w:spacing w:after="160" w:line="480" w:lineRule="auto"/>
        <w:jc w:val="both"/>
        <w:rPr>
          <w:sz w:val="24"/>
          <w:szCs w:val="24"/>
        </w:rPr>
      </w:pPr>
      <w:proofErr w:type="spellStart"/>
      <w:r>
        <w:rPr>
          <w:sz w:val="24"/>
          <w:szCs w:val="24"/>
        </w:rPr>
        <w:t>Witcomb</w:t>
      </w:r>
      <w:proofErr w:type="spellEnd"/>
      <w:r>
        <w:rPr>
          <w:sz w:val="24"/>
          <w:szCs w:val="24"/>
        </w:rPr>
        <w:t xml:space="preserve">, A. (2003) Re-Imagining the Museum: Beyond the Mausoleum. New York: Routledge. </w:t>
      </w:r>
    </w:p>
    <w:p w14:paraId="0B79B545" w14:textId="77777777" w:rsidR="00D47991" w:rsidRDefault="00DF3F80">
      <w:pPr>
        <w:spacing w:after="160" w:line="480" w:lineRule="auto"/>
        <w:ind w:firstLine="720"/>
        <w:jc w:val="both"/>
        <w:rPr>
          <w:sz w:val="24"/>
          <w:szCs w:val="24"/>
        </w:rPr>
      </w:pPr>
      <w:r>
        <w:rPr>
          <w:sz w:val="24"/>
          <w:szCs w:val="24"/>
        </w:rPr>
        <w:t xml:space="preserve"> (2007) ‘“A Place for All of Us”</w:t>
      </w:r>
      <w:proofErr w:type="gramStart"/>
      <w:r>
        <w:rPr>
          <w:sz w:val="24"/>
          <w:szCs w:val="24"/>
        </w:rPr>
        <w:t>?:</w:t>
      </w:r>
      <w:proofErr w:type="gramEnd"/>
      <w:r>
        <w:rPr>
          <w:sz w:val="24"/>
          <w:szCs w:val="24"/>
        </w:rPr>
        <w:t xml:space="preserve"> Museums and Communities”, in Sheila Watson (</w:t>
      </w:r>
      <w:proofErr w:type="spellStart"/>
      <w:r>
        <w:rPr>
          <w:sz w:val="24"/>
          <w:szCs w:val="24"/>
        </w:rPr>
        <w:t>ed</w:t>
      </w:r>
      <w:proofErr w:type="spellEnd"/>
      <w:r>
        <w:rPr>
          <w:sz w:val="24"/>
          <w:szCs w:val="24"/>
        </w:rPr>
        <w:t xml:space="preserve">) Museums and Their Communities, 133-56, New York: Routledge. </w:t>
      </w:r>
    </w:p>
    <w:p w14:paraId="3F55549A" w14:textId="2C25455A" w:rsidR="00197521" w:rsidRDefault="00197521" w:rsidP="00386F5C">
      <w:pPr>
        <w:spacing w:after="160" w:line="480" w:lineRule="auto"/>
        <w:jc w:val="both"/>
        <w:rPr>
          <w:sz w:val="24"/>
          <w:szCs w:val="24"/>
        </w:rPr>
      </w:pPr>
      <w:r>
        <w:rPr>
          <w:sz w:val="24"/>
          <w:szCs w:val="24"/>
        </w:rPr>
        <w:lastRenderedPageBreak/>
        <w:t>Zak, P. (2015) ‘Why Inspiring Stories Make Us React: The Neuroscience of Narrative’ Cerebrum</w:t>
      </w:r>
      <w:r w:rsidR="00386F5C">
        <w:rPr>
          <w:sz w:val="24"/>
          <w:szCs w:val="24"/>
        </w:rPr>
        <w:t>, 2 February 2015</w:t>
      </w:r>
      <w:r>
        <w:rPr>
          <w:sz w:val="24"/>
          <w:szCs w:val="24"/>
        </w:rPr>
        <w:t xml:space="preserve">. </w:t>
      </w:r>
      <w:hyperlink r:id="rId17" w:history="1">
        <w:r w:rsidR="00386F5C" w:rsidRPr="00864D42">
          <w:rPr>
            <w:rStyle w:val="Hyperlink"/>
            <w:sz w:val="24"/>
            <w:szCs w:val="24"/>
          </w:rPr>
          <w:t>https://www.ncbi.nlm.nih.gov/pmc/articles/PMC4445577/</w:t>
        </w:r>
      </w:hyperlink>
      <w:r w:rsidR="00386F5C">
        <w:rPr>
          <w:sz w:val="24"/>
          <w:szCs w:val="24"/>
        </w:rPr>
        <w:t>, accessed 18 March 2021.</w:t>
      </w:r>
    </w:p>
    <w:p w14:paraId="572BDA87" w14:textId="77777777" w:rsidR="00D47991" w:rsidRDefault="00D47991">
      <w:pPr>
        <w:spacing w:after="160" w:line="480" w:lineRule="auto"/>
        <w:jc w:val="both"/>
        <w:rPr>
          <w:sz w:val="24"/>
          <w:szCs w:val="24"/>
        </w:rPr>
      </w:pPr>
    </w:p>
    <w:sectPr w:rsidR="00D47991">
      <w:headerReference w:type="default" r:id="rId18"/>
      <w:pgSz w:w="11907" w:h="16839"/>
      <w:pgMar w:top="1701" w:right="1701" w:bottom="1701" w:left="1701" w:header="720" w:footer="720" w:gutter="0"/>
      <w:pgNumType w:start="1"/>
      <w:cols w:space="720"/>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Author" w:initials="A">
    <w:p w14:paraId="37EA49C8" w14:textId="5B1300FD" w:rsidR="00A67D71" w:rsidRDefault="00A67D71">
      <w:pPr>
        <w:pStyle w:val="CommentText"/>
      </w:pPr>
      <w:r>
        <w:rPr>
          <w:rStyle w:val="CommentReference"/>
        </w:rPr>
        <w:annotationRef/>
      </w:r>
      <w:r>
        <w:t>Will people know what this means? Could you say collectively created or something else instead of “devised”?</w:t>
      </w:r>
    </w:p>
  </w:comment>
  <w:comment w:id="3" w:author="Author" w:initials="A">
    <w:p w14:paraId="063259A6" w14:textId="5B7F8214" w:rsidR="00A67D71" w:rsidRDefault="00A67D71">
      <w:pPr>
        <w:pStyle w:val="CommentText"/>
      </w:pPr>
      <w:r>
        <w:rPr>
          <w:rStyle w:val="CommentReference"/>
        </w:rPr>
        <w:annotationRef/>
      </w:r>
      <w:r>
        <w:t xml:space="preserve">Sure. We just took out “devised” and because collaborative is already listed we think this should suffice. </w:t>
      </w:r>
    </w:p>
  </w:comment>
  <w:comment w:id="5" w:author="Author" w:initials="A">
    <w:p w14:paraId="0560A8DD" w14:textId="44DA0535" w:rsidR="0080543E" w:rsidRDefault="0080543E">
      <w:pPr>
        <w:pStyle w:val="CommentText"/>
      </w:pPr>
      <w:r>
        <w:rPr>
          <w:rStyle w:val="CommentReference"/>
        </w:rPr>
        <w:annotationRef/>
      </w:r>
      <w:r>
        <w:t>Present or past tense?</w:t>
      </w:r>
    </w:p>
  </w:comment>
  <w:comment w:id="6" w:author="Author" w:initials="A">
    <w:p w14:paraId="20F53F4F" w14:textId="705B29D8" w:rsidR="00A67D71" w:rsidRDefault="00A67D71">
      <w:pPr>
        <w:pStyle w:val="CommentText"/>
      </w:pPr>
      <w:r>
        <w:rPr>
          <w:rStyle w:val="CommentReference"/>
        </w:rPr>
        <w:annotationRef/>
      </w:r>
      <w:r>
        <w:t>Telling and listening to stories?</w:t>
      </w:r>
    </w:p>
  </w:comment>
  <w:comment w:id="7" w:author="Author" w:initials="A">
    <w:p w14:paraId="5448E8C8" w14:textId="1761EA80" w:rsidR="00A67D71" w:rsidRDefault="00A67D71">
      <w:pPr>
        <w:pStyle w:val="CommentText"/>
      </w:pPr>
      <w:r>
        <w:rPr>
          <w:rStyle w:val="CommentReference"/>
        </w:rPr>
        <w:annotationRef/>
      </w:r>
      <w:r>
        <w:t>Sure.</w:t>
      </w:r>
    </w:p>
  </w:comment>
  <w:comment w:id="9" w:author="Author" w:initials="A">
    <w:p w14:paraId="73D2C496" w14:textId="08A32DF2" w:rsidR="0080543E" w:rsidRDefault="0080543E">
      <w:pPr>
        <w:pStyle w:val="CommentText"/>
      </w:pPr>
      <w:r>
        <w:rPr>
          <w:rStyle w:val="CommentReference"/>
        </w:rPr>
        <w:annotationRef/>
      </w:r>
      <w:r>
        <w:t xml:space="preserve">We added the parenthetic statement to make our position more clear, rather than changing out the transition entirely. </w:t>
      </w:r>
    </w:p>
  </w:comment>
  <w:comment w:id="10" w:author="Author" w:initials="A">
    <w:p w14:paraId="15430B0A" w14:textId="22844B59" w:rsidR="00A67D71" w:rsidRDefault="00A67D71">
      <w:pPr>
        <w:pStyle w:val="CommentText"/>
      </w:pPr>
      <w:r>
        <w:rPr>
          <w:rStyle w:val="CommentReference"/>
        </w:rPr>
        <w:annotationRef/>
      </w:r>
      <w:r>
        <w:t>Existing?</w:t>
      </w:r>
    </w:p>
  </w:comment>
  <w:comment w:id="11" w:author="Author" w:initials="A">
    <w:p w14:paraId="79DB6FF1" w14:textId="5A0390E1" w:rsidR="00A67D71" w:rsidRDefault="00A67D71">
      <w:pPr>
        <w:pStyle w:val="CommentText"/>
      </w:pPr>
      <w:r>
        <w:rPr>
          <w:rStyle w:val="CommentReference"/>
        </w:rPr>
        <w:annotationRef/>
      </w:r>
      <w:r>
        <w:t xml:space="preserve">We really like standard </w:t>
      </w:r>
      <w:r>
        <w:sym w:font="Wingdings" w:char="F04A"/>
      </w:r>
    </w:p>
  </w:comment>
  <w:comment w:id="13" w:author="Author" w:initials="A">
    <w:p w14:paraId="7D8A59AA" w14:textId="53EE1910" w:rsidR="00A67D71" w:rsidRDefault="00A67D71">
      <w:pPr>
        <w:pStyle w:val="CommentText"/>
      </w:pPr>
      <w:r>
        <w:rPr>
          <w:rStyle w:val="CommentReference"/>
        </w:rPr>
        <w:annotationRef/>
      </w:r>
      <w:r>
        <w:t>Need a sentence explaining how these examples create exclusivity.</w:t>
      </w:r>
    </w:p>
  </w:comment>
  <w:comment w:id="14" w:author="Author" w:initials="A">
    <w:p w14:paraId="38528E60" w14:textId="554D94C3" w:rsidR="00A67D71" w:rsidRDefault="00A67D71">
      <w:pPr>
        <w:pStyle w:val="CommentText"/>
      </w:pPr>
      <w:r>
        <w:rPr>
          <w:rStyle w:val="CommentReference"/>
        </w:rPr>
        <w:annotationRef/>
      </w:r>
      <w:r>
        <w:t>Will this suffice?</w:t>
      </w:r>
    </w:p>
  </w:comment>
  <w:comment w:id="16" w:author="Author" w:initials="A">
    <w:p w14:paraId="61FFFAF7" w14:textId="308111F0" w:rsidR="00A67D71" w:rsidRDefault="00A67D71">
      <w:pPr>
        <w:pStyle w:val="CommentText"/>
      </w:pPr>
      <w:r>
        <w:rPr>
          <w:rStyle w:val="CommentReference"/>
        </w:rPr>
        <w:annotationRef/>
      </w:r>
      <w:r>
        <w:t>Unperceived?</w:t>
      </w:r>
    </w:p>
  </w:comment>
  <w:comment w:id="17" w:author="Author" w:initials="A">
    <w:p w14:paraId="43505A94" w14:textId="379056D8" w:rsidR="00A67D71" w:rsidRDefault="00A67D71">
      <w:pPr>
        <w:pStyle w:val="CommentText"/>
      </w:pPr>
      <w:r>
        <w:rPr>
          <w:rStyle w:val="CommentReference"/>
        </w:rPr>
        <w:annotationRef/>
      </w:r>
      <w:r>
        <w:t xml:space="preserve">We like unseen </w:t>
      </w:r>
      <w:r>
        <w:sym w:font="Wingdings" w:char="F04A"/>
      </w:r>
      <w:r>
        <w:t xml:space="preserve"> </w:t>
      </w:r>
    </w:p>
  </w:comment>
  <w:comment w:id="18" w:author="Author" w:initials="A">
    <w:p w14:paraId="0C0FFAF0" w14:textId="42D38B99" w:rsidR="00A67D71" w:rsidRDefault="00A67D71">
      <w:pPr>
        <w:pStyle w:val="CommentText"/>
      </w:pPr>
      <w:r>
        <w:rPr>
          <w:rStyle w:val="CommentReference"/>
        </w:rPr>
        <w:annotationRef/>
      </w:r>
      <w:r>
        <w:t xml:space="preserve">Is it accountability? Or equity? </w:t>
      </w:r>
    </w:p>
  </w:comment>
  <w:comment w:id="19" w:author="Author" w:initials="A">
    <w:p w14:paraId="5D642447" w14:textId="1D206D13" w:rsidR="00A67D71" w:rsidRDefault="00A67D71">
      <w:pPr>
        <w:pStyle w:val="CommentText"/>
      </w:pPr>
      <w:r>
        <w:rPr>
          <w:rStyle w:val="CommentReference"/>
        </w:rPr>
        <w:annotationRef/>
      </w:r>
      <w:r>
        <w:t>Accountability, as this is about us doing good by our promises of how we would present and use their stories. If they are dissatisfied they can withdraw.</w:t>
      </w:r>
    </w:p>
  </w:comment>
  <w:comment w:id="20" w:author="Author" w:initials="A">
    <w:p w14:paraId="489F375C" w14:textId="047AF955" w:rsidR="00A67D71" w:rsidRDefault="00A67D71">
      <w:pPr>
        <w:pStyle w:val="CommentText"/>
      </w:pPr>
      <w:r>
        <w:rPr>
          <w:rStyle w:val="CommentReference"/>
        </w:rPr>
        <w:annotationRef/>
      </w:r>
      <w:r>
        <w:t>Stands?</w:t>
      </w:r>
    </w:p>
  </w:comment>
  <w:comment w:id="21" w:author="Author" w:initials="A">
    <w:p w14:paraId="1A61CBCD" w14:textId="43F61EFD" w:rsidR="00A67D71" w:rsidRDefault="00A67D71">
      <w:pPr>
        <w:pStyle w:val="CommentText"/>
      </w:pPr>
      <w:r>
        <w:rPr>
          <w:rStyle w:val="CommentReference"/>
        </w:rPr>
        <w:annotationRef/>
      </w:r>
      <w:r>
        <w:t>We changed “stood” to “stands” at your request, but we wonder if this makes for awkward reading as we fall back into past tense immediately thereafter discussing the exhibition.</w:t>
      </w:r>
    </w:p>
  </w:comment>
  <w:comment w:id="22" w:author="Author" w:initials="A">
    <w:p w14:paraId="1A17BA12" w14:textId="4FB7BDEB" w:rsidR="00A67D71" w:rsidRDefault="00A67D71">
      <w:pPr>
        <w:pStyle w:val="CommentText"/>
      </w:pPr>
      <w:r>
        <w:rPr>
          <w:rStyle w:val="CommentReference"/>
        </w:rPr>
        <w:annotationRef/>
      </w:r>
      <w:r>
        <w:t>Ok?</w:t>
      </w:r>
    </w:p>
  </w:comment>
  <w:comment w:id="23" w:author="Author" w:initials="A">
    <w:p w14:paraId="04E0FB89" w14:textId="4906CC75" w:rsidR="00A67D71" w:rsidRDefault="00A67D71">
      <w:pPr>
        <w:pStyle w:val="CommentText"/>
      </w:pPr>
      <w:r>
        <w:rPr>
          <w:rStyle w:val="CommentReference"/>
        </w:rPr>
        <w:annotationRef/>
      </w:r>
      <w:r>
        <w:t>Sure.</w:t>
      </w:r>
    </w:p>
  </w:comment>
  <w:comment w:id="24" w:author="Author" w:initials="A">
    <w:p w14:paraId="2F3CDED2" w14:textId="41B8B670" w:rsidR="0032302B" w:rsidRDefault="0032302B">
      <w:pPr>
        <w:pStyle w:val="CommentText"/>
      </w:pPr>
      <w:r>
        <w:rPr>
          <w:rStyle w:val="CommentReference"/>
        </w:rPr>
        <w:annotationRef/>
      </w:r>
      <w:r>
        <w:t>Again, tense?</w:t>
      </w:r>
    </w:p>
  </w:comment>
  <w:comment w:id="25" w:author="Author" w:initials="A">
    <w:p w14:paraId="42B7F6CD" w14:textId="09E5F03F" w:rsidR="00A67D71" w:rsidRDefault="00A67D71">
      <w:pPr>
        <w:pStyle w:val="CommentText"/>
      </w:pPr>
      <w:r>
        <w:rPr>
          <w:rStyle w:val="CommentReference"/>
        </w:rPr>
        <w:annotationRef/>
      </w:r>
      <w:r>
        <w:t>Another awkward tense. Should this be “were” or “are”?</w:t>
      </w:r>
    </w:p>
  </w:comment>
  <w:comment w:id="26" w:author="Author" w:initials="A">
    <w:p w14:paraId="2EB0F2B6" w14:textId="70B3A7A8" w:rsidR="00A67D71" w:rsidRDefault="00A67D71">
      <w:pPr>
        <w:pStyle w:val="CommentText"/>
      </w:pPr>
      <w:r>
        <w:rPr>
          <w:rStyle w:val="CommentReference"/>
        </w:rPr>
        <w:annotationRef/>
      </w:r>
      <w:r>
        <w:t>Reconsidering? Loosening sounds like you remain completely in control and that the standards haven’t really changed. Reconsidering suggests more active questioning of the standards.</w:t>
      </w:r>
    </w:p>
  </w:comment>
  <w:comment w:id="27" w:author="Author" w:initials="A">
    <w:p w14:paraId="78F08DB1" w14:textId="61715023" w:rsidR="00A67D71" w:rsidRDefault="00A67D71">
      <w:pPr>
        <w:pStyle w:val="CommentText"/>
      </w:pPr>
      <w:r>
        <w:rPr>
          <w:rStyle w:val="CommentReference"/>
        </w:rPr>
        <w:annotationRef/>
      </w:r>
      <w:r>
        <w:t>Excellent point</w:t>
      </w:r>
    </w:p>
  </w:comment>
  <w:comment w:id="28" w:author="Author" w:initials="A">
    <w:p w14:paraId="3BF8BC2B" w14:textId="1DCD2D6A" w:rsidR="00A67D71" w:rsidRDefault="00A67D71">
      <w:pPr>
        <w:pStyle w:val="CommentText"/>
      </w:pPr>
      <w:r>
        <w:rPr>
          <w:rStyle w:val="CommentReference"/>
        </w:rPr>
        <w:annotationRef/>
      </w:r>
      <w:r>
        <w:t>Any numbers or comparison to previous exhibits?</w:t>
      </w:r>
    </w:p>
  </w:comment>
  <w:comment w:id="29" w:author="Author" w:initials="A">
    <w:p w14:paraId="02670407" w14:textId="47D316FA" w:rsidR="00A67D71" w:rsidRDefault="00A67D71">
      <w:pPr>
        <w:pStyle w:val="CommentText"/>
      </w:pPr>
      <w:r>
        <w:rPr>
          <w:rStyle w:val="CommentReference"/>
        </w:rPr>
        <w:annotationRef/>
      </w:r>
      <w:r>
        <w:t xml:space="preserve">Just anecdotal, unfortunately.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EA49C8" w15:done="0"/>
  <w15:commentEx w15:paraId="063259A6" w15:paraIdParent="37EA49C8" w15:done="0"/>
  <w15:commentEx w15:paraId="0560A8DD" w15:done="0"/>
  <w15:commentEx w15:paraId="20F53F4F" w15:done="0"/>
  <w15:commentEx w15:paraId="5448E8C8" w15:paraIdParent="20F53F4F" w15:done="0"/>
  <w15:commentEx w15:paraId="73D2C496" w15:done="0"/>
  <w15:commentEx w15:paraId="15430B0A" w15:done="0"/>
  <w15:commentEx w15:paraId="79DB6FF1" w15:paraIdParent="15430B0A" w15:done="0"/>
  <w15:commentEx w15:paraId="7D8A59AA" w15:done="0"/>
  <w15:commentEx w15:paraId="38528E60" w15:paraIdParent="7D8A59AA" w15:done="0"/>
  <w15:commentEx w15:paraId="61FFFAF7" w15:done="0"/>
  <w15:commentEx w15:paraId="43505A94" w15:paraIdParent="61FFFAF7" w15:done="0"/>
  <w15:commentEx w15:paraId="0C0FFAF0" w15:done="1"/>
  <w15:commentEx w15:paraId="5D642447" w15:paraIdParent="0C0FFAF0" w15:done="0"/>
  <w15:commentEx w15:paraId="489F375C" w15:done="1"/>
  <w15:commentEx w15:paraId="1A61CBCD" w15:done="0"/>
  <w15:commentEx w15:paraId="1A17BA12" w15:done="0"/>
  <w15:commentEx w15:paraId="04E0FB89" w15:paraIdParent="1A17BA12" w15:done="0"/>
  <w15:commentEx w15:paraId="2F3CDED2" w15:done="0"/>
  <w15:commentEx w15:paraId="42B7F6CD" w15:done="0"/>
  <w15:commentEx w15:paraId="2EB0F2B6" w15:done="1"/>
  <w15:commentEx w15:paraId="78F08DB1" w15:paraIdParent="2EB0F2B6" w15:done="0"/>
  <w15:commentEx w15:paraId="3BF8BC2B" w15:done="0"/>
  <w15:commentEx w15:paraId="02670407" w15:paraIdParent="3BF8BC2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7EA49C8" w16cid:durableId="23F49F4A"/>
  <w16cid:commentId w16cid:paraId="20F53F4F" w16cid:durableId="23F49FB6"/>
  <w16cid:commentId w16cid:paraId="7461386E" w16cid:durableId="23F49FD5"/>
  <w16cid:commentId w16cid:paraId="1022BC6D" w16cid:durableId="23F4A0B1"/>
  <w16cid:commentId w16cid:paraId="283FF01B" w16cid:durableId="23F4A58B"/>
  <w16cid:commentId w16cid:paraId="1B400FD2" w16cid:durableId="23F4A65C"/>
  <w16cid:commentId w16cid:paraId="456FDE20" w16cid:durableId="23F4A6C1"/>
  <w16cid:commentId w16cid:paraId="7E6EDB22" w16cid:durableId="23F4A75D"/>
  <w16cid:commentId w16cid:paraId="15430B0A" w16cid:durableId="23F4A7EC"/>
  <w16cid:commentId w16cid:paraId="25FB9457" w16cid:durableId="23F4A779"/>
  <w16cid:commentId w16cid:paraId="10A132EA" w16cid:durableId="23F4A7AA"/>
  <w16cid:commentId w16cid:paraId="484B576B" w16cid:durableId="23F4A817"/>
  <w16cid:commentId w16cid:paraId="0D4F9828" w16cid:durableId="23F4A897"/>
  <w16cid:commentId w16cid:paraId="7D8A59AA" w16cid:durableId="23F4A8BA"/>
  <w16cid:commentId w16cid:paraId="5AE9850B" w16cid:durableId="23F4A90C"/>
  <w16cid:commentId w16cid:paraId="4D263E9C" w16cid:durableId="23F4A9ED"/>
  <w16cid:commentId w16cid:paraId="04C41057" w16cid:durableId="23F4A985"/>
  <w16cid:commentId w16cid:paraId="16402F24" w16cid:durableId="23F7026E"/>
  <w16cid:commentId w16cid:paraId="3EDE93D2" w16cid:durableId="23F4AAC4"/>
  <w16cid:commentId w16cid:paraId="5FF11BFC" w16cid:durableId="23F4AB32"/>
  <w16cid:commentId w16cid:paraId="44202E26" w16cid:durableId="23F4ABD6"/>
  <w16cid:commentId w16cid:paraId="61FFFAF7" w16cid:durableId="23F70397"/>
  <w16cid:commentId w16cid:paraId="7FCF6991" w16cid:durableId="23F4AC58"/>
  <w16cid:commentId w16cid:paraId="3DAD995C" w16cid:durableId="23F4ADF3"/>
  <w16cid:commentId w16cid:paraId="0C0FFAF0" w16cid:durableId="23F4AEDF"/>
  <w16cid:commentId w16cid:paraId="489F375C" w16cid:durableId="23F4AF01"/>
  <w16cid:commentId w16cid:paraId="7CBBE7AD" w16cid:durableId="23F4AF15"/>
  <w16cid:commentId w16cid:paraId="69C7A219" w16cid:durableId="23F7051A"/>
  <w16cid:commentId w16cid:paraId="1828D6FC" w16cid:durableId="23F4AF68"/>
  <w16cid:commentId w16cid:paraId="451F533A" w16cid:durableId="23F4AF7B"/>
  <w16cid:commentId w16cid:paraId="1A17BA12" w16cid:durableId="23F4AFAA"/>
  <w16cid:commentId w16cid:paraId="753F7CAD" w16cid:durableId="23F4AFDB"/>
  <w16cid:commentId w16cid:paraId="4D4FF14B" w16cid:durableId="23F4B05C"/>
  <w16cid:commentId w16cid:paraId="2EB0F2B6" w16cid:durableId="23F4B06D"/>
  <w16cid:commentId w16cid:paraId="3BF8BC2B" w16cid:durableId="23F7060E"/>
  <w16cid:commentId w16cid:paraId="2CAC1BDA" w16cid:durableId="23F4B159"/>
  <w16cid:commentId w16cid:paraId="288593D8" w16cid:durableId="23F706D5"/>
  <w16cid:commentId w16cid:paraId="4CB2C152" w16cid:durableId="23F70852"/>
  <w16cid:commentId w16cid:paraId="63936A53" w16cid:durableId="23F70967"/>
  <w16cid:commentId w16cid:paraId="39BFAD2C" w16cid:durableId="23F709EE"/>
  <w16cid:commentId w16cid:paraId="05D54681" w16cid:durableId="23F4B4E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B13BD7" w14:textId="77777777" w:rsidR="001823EA" w:rsidRDefault="001823EA">
      <w:pPr>
        <w:spacing w:line="240" w:lineRule="auto"/>
      </w:pPr>
      <w:r>
        <w:separator/>
      </w:r>
    </w:p>
  </w:endnote>
  <w:endnote w:type="continuationSeparator" w:id="0">
    <w:p w14:paraId="51E03226" w14:textId="77777777" w:rsidR="001823EA" w:rsidRDefault="001823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39C64" w14:textId="77777777" w:rsidR="001823EA" w:rsidRDefault="001823EA">
      <w:pPr>
        <w:spacing w:line="240" w:lineRule="auto"/>
      </w:pPr>
      <w:r>
        <w:separator/>
      </w:r>
    </w:p>
  </w:footnote>
  <w:footnote w:type="continuationSeparator" w:id="0">
    <w:p w14:paraId="238475E3" w14:textId="77777777" w:rsidR="001823EA" w:rsidRDefault="001823EA">
      <w:pPr>
        <w:spacing w:line="240" w:lineRule="auto"/>
      </w:pPr>
      <w:r>
        <w:continuationSeparator/>
      </w:r>
    </w:p>
  </w:footnote>
  <w:footnote w:id="1">
    <w:p w14:paraId="7698C864" w14:textId="77777777" w:rsidR="00A67D71" w:rsidRDefault="00A67D71">
      <w:pPr>
        <w:spacing w:after="240" w:line="480" w:lineRule="auto"/>
        <w:rPr>
          <w:sz w:val="24"/>
          <w:szCs w:val="24"/>
        </w:rPr>
      </w:pPr>
      <w:r>
        <w:rPr>
          <w:rStyle w:val="FootnoteReference"/>
        </w:rPr>
        <w:footnoteRef/>
      </w:r>
      <w:r>
        <w:rPr>
          <w:sz w:val="24"/>
          <w:szCs w:val="24"/>
        </w:rPr>
        <w:t xml:space="preserve"> The previous </w:t>
      </w:r>
      <w:proofErr w:type="spellStart"/>
      <w:r>
        <w:rPr>
          <w:sz w:val="24"/>
          <w:szCs w:val="24"/>
        </w:rPr>
        <w:t>ICOM</w:t>
      </w:r>
      <w:proofErr w:type="spellEnd"/>
      <w:r>
        <w:rPr>
          <w:sz w:val="24"/>
          <w:szCs w:val="24"/>
        </w:rPr>
        <w:t xml:space="preserve"> definition of ‘museum’ stressed collections stewardship, research, and programming to support ‘education, study and enjoyment.’</w:t>
      </w:r>
    </w:p>
  </w:footnote>
  <w:footnote w:id="2">
    <w:p w14:paraId="5E4C8F06" w14:textId="77777777" w:rsidR="00A67D71" w:rsidRDefault="00A67D71">
      <w:pPr>
        <w:pBdr>
          <w:top w:val="nil"/>
          <w:left w:val="nil"/>
          <w:bottom w:val="nil"/>
          <w:right w:val="nil"/>
          <w:between w:val="nil"/>
        </w:pBdr>
        <w:spacing w:after="240" w:line="480" w:lineRule="auto"/>
        <w:rPr>
          <w:color w:val="000000"/>
          <w:sz w:val="24"/>
          <w:szCs w:val="24"/>
        </w:rPr>
      </w:pPr>
      <w:r>
        <w:rPr>
          <w:rStyle w:val="FootnoteReference"/>
        </w:rPr>
        <w:footnoteRef/>
      </w:r>
      <w:r>
        <w:rPr>
          <w:color w:val="000000"/>
          <w:sz w:val="24"/>
          <w:szCs w:val="24"/>
        </w:rPr>
        <w:t xml:space="preserve"> See also </w:t>
      </w:r>
      <w:proofErr w:type="spellStart"/>
      <w:r>
        <w:rPr>
          <w:color w:val="000000"/>
          <w:sz w:val="24"/>
          <w:szCs w:val="24"/>
        </w:rPr>
        <w:t>Seph</w:t>
      </w:r>
      <w:proofErr w:type="spellEnd"/>
      <w:r>
        <w:rPr>
          <w:color w:val="000000"/>
          <w:sz w:val="24"/>
          <w:szCs w:val="24"/>
        </w:rPr>
        <w:t xml:space="preserve"> Rodney, ‘The Conflict </w:t>
      </w:r>
      <w:proofErr w:type="gramStart"/>
      <w:r>
        <w:rPr>
          <w:color w:val="000000"/>
          <w:sz w:val="24"/>
          <w:szCs w:val="24"/>
        </w:rPr>
        <w:t>Around</w:t>
      </w:r>
      <w:proofErr w:type="gramEnd"/>
      <w:r>
        <w:rPr>
          <w:color w:val="000000"/>
          <w:sz w:val="24"/>
          <w:szCs w:val="24"/>
        </w:rPr>
        <w:t xml:space="preserve"> Diversity at the American Alliance of Museums’, </w:t>
      </w:r>
      <w:proofErr w:type="spellStart"/>
      <w:r>
        <w:rPr>
          <w:color w:val="000000"/>
          <w:sz w:val="24"/>
          <w:szCs w:val="24"/>
        </w:rPr>
        <w:t>Hyperallergic</w:t>
      </w:r>
      <w:proofErr w:type="spellEnd"/>
      <w:r>
        <w:rPr>
          <w:color w:val="000000"/>
          <w:sz w:val="24"/>
          <w:szCs w:val="24"/>
        </w:rPr>
        <w:t xml:space="preserve">, 3 June 2016. </w:t>
      </w:r>
      <w:hyperlink r:id="rId1">
        <w:r>
          <w:rPr>
            <w:color w:val="000000"/>
            <w:sz w:val="24"/>
            <w:szCs w:val="24"/>
          </w:rPr>
          <w:t>https://hyperallergic.com/302752/the-conflict-around-diversity-at-the-american-alliance-of-museums/</w:t>
        </w:r>
      </w:hyperlink>
      <w:r>
        <w:rPr>
          <w:color w:val="000000"/>
          <w:sz w:val="24"/>
          <w:szCs w:val="24"/>
        </w:rPr>
        <w:t>, accessed 27 December 2020.</w:t>
      </w:r>
    </w:p>
  </w:footnote>
  <w:footnote w:id="3">
    <w:p w14:paraId="3A17CC32" w14:textId="77777777" w:rsidR="00A67D71" w:rsidRDefault="00A67D71">
      <w:pPr>
        <w:pBdr>
          <w:top w:val="nil"/>
          <w:left w:val="nil"/>
          <w:bottom w:val="nil"/>
          <w:right w:val="nil"/>
          <w:between w:val="nil"/>
        </w:pBdr>
        <w:spacing w:after="240" w:line="480" w:lineRule="auto"/>
        <w:rPr>
          <w:sz w:val="24"/>
          <w:szCs w:val="24"/>
        </w:rPr>
      </w:pPr>
      <w:r>
        <w:rPr>
          <w:rStyle w:val="FootnoteReference"/>
        </w:rPr>
        <w:footnoteRef/>
      </w:r>
      <w:r>
        <w:rPr>
          <w:sz w:val="24"/>
          <w:szCs w:val="24"/>
        </w:rPr>
        <w:t xml:space="preserve"> Mary Carole </w:t>
      </w:r>
      <w:r>
        <w:rPr>
          <w:color w:val="000000"/>
          <w:sz w:val="24"/>
          <w:szCs w:val="24"/>
        </w:rPr>
        <w:t>McCauley, ‘Baltimore Museum of Art Director Chris Bedford Tries to Change the World. So Why Does He Make Some People Angry?</w:t>
      </w:r>
      <w:proofErr w:type="gramStart"/>
      <w:r>
        <w:rPr>
          <w:color w:val="000000"/>
          <w:sz w:val="24"/>
          <w:szCs w:val="24"/>
        </w:rPr>
        <w:t>’,</w:t>
      </w:r>
      <w:proofErr w:type="gramEnd"/>
      <w:r>
        <w:rPr>
          <w:color w:val="000000"/>
          <w:sz w:val="24"/>
          <w:szCs w:val="24"/>
        </w:rPr>
        <w:t xml:space="preserve"> Baltimore Sun, 20 November 2020. </w:t>
      </w:r>
      <w:r>
        <w:rPr>
          <w:color w:val="000000"/>
          <w:sz w:val="24"/>
          <w:szCs w:val="24"/>
        </w:rPr>
        <w:br/>
      </w:r>
      <w:hyperlink r:id="rId2">
        <w:r>
          <w:rPr>
            <w:color w:val="1155CC"/>
            <w:sz w:val="24"/>
            <w:szCs w:val="24"/>
            <w:u w:val="single"/>
          </w:rPr>
          <w:t>https://www.baltimoresun.com/entertainment/arts/bs-pr-fe-baltimore-museum-of-art-chris-bedford-20201120-zkltkjinr5f7vd4bidb4alvncy-story.html</w:t>
        </w:r>
      </w:hyperlink>
      <w:r>
        <w:rPr>
          <w:color w:val="1155CC"/>
          <w:sz w:val="24"/>
          <w:szCs w:val="24"/>
        </w:rPr>
        <w:t xml:space="preserve">, </w:t>
      </w:r>
      <w:r>
        <w:rPr>
          <w:color w:val="000000"/>
          <w:sz w:val="24"/>
          <w:szCs w:val="24"/>
        </w:rPr>
        <w:t>accessed 1 March 2021.</w:t>
      </w:r>
    </w:p>
  </w:footnote>
  <w:footnote w:id="4">
    <w:p w14:paraId="3E016D09" w14:textId="77777777" w:rsidR="00A67D71" w:rsidRDefault="00A67D71">
      <w:pPr>
        <w:pBdr>
          <w:top w:val="nil"/>
          <w:left w:val="nil"/>
          <w:bottom w:val="nil"/>
          <w:right w:val="nil"/>
          <w:between w:val="nil"/>
        </w:pBdr>
        <w:spacing w:after="240" w:line="480" w:lineRule="auto"/>
        <w:rPr>
          <w:color w:val="000000"/>
          <w:sz w:val="24"/>
          <w:szCs w:val="24"/>
        </w:rPr>
      </w:pPr>
      <w:r>
        <w:rPr>
          <w:rStyle w:val="FootnoteReference"/>
        </w:rPr>
        <w:footnoteRef/>
      </w:r>
      <w:r>
        <w:rPr>
          <w:color w:val="000000"/>
          <w:sz w:val="24"/>
          <w:szCs w:val="24"/>
        </w:rPr>
        <w:t xml:space="preserve"> Simona Bodo, Kirsten Gibbs, and Margherita Sani (</w:t>
      </w:r>
      <w:proofErr w:type="spellStart"/>
      <w:proofErr w:type="gramStart"/>
      <w:r>
        <w:rPr>
          <w:color w:val="000000"/>
          <w:sz w:val="24"/>
          <w:szCs w:val="24"/>
        </w:rPr>
        <w:t>eds</w:t>
      </w:r>
      <w:proofErr w:type="spellEnd"/>
      <w:proofErr w:type="gramEnd"/>
      <w:r>
        <w:rPr>
          <w:color w:val="000000"/>
          <w:sz w:val="24"/>
          <w:szCs w:val="24"/>
        </w:rPr>
        <w:t xml:space="preserve">) Museums as Places for Intercultural Dialogue: Selected Practices From Europe, MAP for ID Group, The British Museum 2009. </w:t>
      </w:r>
      <w:hyperlink r:id="rId3">
        <w:r>
          <w:rPr>
            <w:color w:val="000000"/>
            <w:sz w:val="24"/>
            <w:szCs w:val="24"/>
          </w:rPr>
          <w:t>https://www.ne-mo.org/fileadmin/Dateien/public/service/Handbook_MAPforID_EN.pdf</w:t>
        </w:r>
      </w:hyperlink>
      <w:r>
        <w:rPr>
          <w:color w:val="000000"/>
          <w:sz w:val="24"/>
          <w:szCs w:val="24"/>
        </w:rPr>
        <w:t>, accessed 27 December 2020.</w:t>
      </w:r>
    </w:p>
  </w:footnote>
  <w:footnote w:id="5">
    <w:p w14:paraId="19C7E6D4" w14:textId="77777777" w:rsidR="00A67D71" w:rsidRDefault="00A67D71">
      <w:pPr>
        <w:pBdr>
          <w:top w:val="nil"/>
          <w:left w:val="nil"/>
          <w:bottom w:val="nil"/>
          <w:right w:val="nil"/>
          <w:between w:val="nil"/>
        </w:pBdr>
        <w:spacing w:after="240" w:line="480" w:lineRule="auto"/>
        <w:rPr>
          <w:color w:val="000000"/>
          <w:sz w:val="24"/>
          <w:szCs w:val="24"/>
        </w:rPr>
      </w:pPr>
      <w:r>
        <w:rPr>
          <w:rStyle w:val="FootnoteReference"/>
        </w:rPr>
        <w:footnoteRef/>
      </w:r>
      <w:r>
        <w:rPr>
          <w:color w:val="000000"/>
          <w:sz w:val="24"/>
          <w:szCs w:val="24"/>
        </w:rPr>
        <w:t xml:space="preserve"> Elizabeth Merritt, ‘Trust Me, I’m a Museum’, Center for the Future of Museums Blog, 3 February 2015. </w:t>
      </w:r>
      <w:hyperlink r:id="rId4">
        <w:r>
          <w:rPr>
            <w:color w:val="1155CC"/>
            <w:sz w:val="24"/>
            <w:szCs w:val="24"/>
            <w:u w:val="single"/>
          </w:rPr>
          <w:t>https://www.aam-us.org/2015/02/03/trust-me-im-a-museum/</w:t>
        </w:r>
      </w:hyperlink>
      <w:r>
        <w:rPr>
          <w:color w:val="1155CC"/>
          <w:sz w:val="24"/>
          <w:szCs w:val="24"/>
          <w:u w:val="single"/>
        </w:rPr>
        <w:t>,</w:t>
      </w:r>
      <w:r>
        <w:rPr>
          <w:color w:val="000000"/>
          <w:sz w:val="24"/>
          <w:szCs w:val="24"/>
          <w:shd w:val="clear" w:color="auto" w:fill="F7F9FA"/>
        </w:rPr>
        <w:t xml:space="preserve"> accessed 27 December 2020.</w:t>
      </w:r>
    </w:p>
  </w:footnote>
  <w:footnote w:id="6">
    <w:p w14:paraId="24EF24C4" w14:textId="77777777" w:rsidR="00A67D71" w:rsidRDefault="00A67D71">
      <w:pPr>
        <w:spacing w:after="240" w:line="480" w:lineRule="auto"/>
        <w:rPr>
          <w:sz w:val="24"/>
          <w:szCs w:val="24"/>
        </w:rPr>
      </w:pPr>
      <w:r>
        <w:rPr>
          <w:rStyle w:val="FootnoteReference"/>
        </w:rPr>
        <w:footnoteRef/>
      </w:r>
      <w:r>
        <w:rPr>
          <w:sz w:val="24"/>
          <w:szCs w:val="24"/>
        </w:rPr>
        <w:t xml:space="preserve"> </w:t>
      </w:r>
      <w:proofErr w:type="spellStart"/>
      <w:r>
        <w:rPr>
          <w:sz w:val="24"/>
          <w:szCs w:val="24"/>
        </w:rPr>
        <w:t>In|Dignity</w:t>
      </w:r>
      <w:proofErr w:type="spellEnd"/>
      <w:r>
        <w:rPr>
          <w:sz w:val="24"/>
          <w:szCs w:val="24"/>
        </w:rPr>
        <w:t xml:space="preserve"> was reviewed and received human </w:t>
      </w:r>
      <w:proofErr w:type="gramStart"/>
      <w:r>
        <w:rPr>
          <w:sz w:val="24"/>
          <w:szCs w:val="24"/>
        </w:rPr>
        <w:t>subjects</w:t>
      </w:r>
      <w:proofErr w:type="gramEnd"/>
      <w:r>
        <w:rPr>
          <w:sz w:val="24"/>
          <w:szCs w:val="24"/>
        </w:rPr>
        <w:t xml:space="preserve"> approval by the Institutional Review Board (IRB) at California State University San Bernardino, study number FY2017-21, with recordings later certified as a publicly available secondary data set.</w:t>
      </w:r>
    </w:p>
  </w:footnote>
  <w:footnote w:id="7">
    <w:p w14:paraId="05622D34" w14:textId="77777777" w:rsidR="00A67D71" w:rsidRDefault="00A67D71">
      <w:pPr>
        <w:pBdr>
          <w:top w:val="nil"/>
          <w:left w:val="nil"/>
          <w:bottom w:val="nil"/>
          <w:right w:val="nil"/>
          <w:between w:val="nil"/>
        </w:pBdr>
        <w:spacing w:after="240" w:line="480" w:lineRule="auto"/>
        <w:rPr>
          <w:color w:val="0000FF"/>
          <w:sz w:val="24"/>
          <w:szCs w:val="24"/>
        </w:rPr>
      </w:pPr>
      <w:r>
        <w:rPr>
          <w:rStyle w:val="FootnoteReference"/>
        </w:rPr>
        <w:footnoteRef/>
      </w:r>
      <w:r>
        <w:rPr>
          <w:color w:val="000000"/>
          <w:sz w:val="24"/>
          <w:szCs w:val="24"/>
        </w:rPr>
        <w:t xml:space="preserve"> </w:t>
      </w:r>
      <w:proofErr w:type="spellStart"/>
      <w:r>
        <w:rPr>
          <w:color w:val="000000"/>
          <w:sz w:val="24"/>
          <w:szCs w:val="24"/>
        </w:rPr>
        <w:t>Amer</w:t>
      </w:r>
      <w:proofErr w:type="spellEnd"/>
      <w:r>
        <w:rPr>
          <w:color w:val="000000"/>
          <w:sz w:val="24"/>
          <w:szCs w:val="24"/>
        </w:rPr>
        <w:t xml:space="preserve"> F. Ahmed, ‘The Culture of Campus Social Justice Elitism’, </w:t>
      </w:r>
      <w:proofErr w:type="spellStart"/>
      <w:r>
        <w:rPr>
          <w:color w:val="000000"/>
          <w:sz w:val="24"/>
          <w:szCs w:val="24"/>
        </w:rPr>
        <w:t>ACPA</w:t>
      </w:r>
      <w:proofErr w:type="spellEnd"/>
      <w:r>
        <w:rPr>
          <w:color w:val="000000"/>
          <w:sz w:val="24"/>
          <w:szCs w:val="24"/>
        </w:rPr>
        <w:t xml:space="preserve"> Commission for Social Justice Education Blog, 4 February 2014. </w:t>
      </w:r>
      <w:hyperlink r:id="rId5">
        <w:r>
          <w:rPr>
            <w:sz w:val="24"/>
            <w:szCs w:val="24"/>
          </w:rPr>
          <w:t>https://acpacsje.wordpress.com/2014/02/04/the-culture-of-campus-social-justice-elitism-by-amer-ahmed/</w:t>
        </w:r>
      </w:hyperlink>
      <w:r>
        <w:rPr>
          <w:sz w:val="24"/>
          <w:szCs w:val="24"/>
        </w:rPr>
        <w:t>, accessed 27 December 2020.</w:t>
      </w:r>
    </w:p>
  </w:footnote>
  <w:footnote w:id="8">
    <w:p w14:paraId="226CC7A2" w14:textId="7D929498" w:rsidR="00A67D71" w:rsidRDefault="00A67D71">
      <w:pPr>
        <w:spacing w:after="240" w:line="480" w:lineRule="auto"/>
        <w:rPr>
          <w:sz w:val="24"/>
          <w:szCs w:val="24"/>
        </w:rPr>
      </w:pPr>
      <w:r>
        <w:rPr>
          <w:rStyle w:val="FootnoteReference"/>
        </w:rPr>
        <w:footnoteRef/>
      </w:r>
      <w:r>
        <w:rPr>
          <w:sz w:val="24"/>
          <w:szCs w:val="24"/>
        </w:rPr>
        <w:t xml:space="preserve"> We are grateful for the organizational labour of Kathryn Ervin, Andre Harrington, Jason Mann, and Leslie Bryan along with the crew of students and community members involved in the production and performance of ‘</w:t>
      </w:r>
      <w:proofErr w:type="spellStart"/>
      <w:r>
        <w:rPr>
          <w:sz w:val="24"/>
          <w:szCs w:val="24"/>
        </w:rPr>
        <w:t>In|Dignity</w:t>
      </w:r>
      <w:proofErr w:type="spellEnd"/>
      <w:r>
        <w:rPr>
          <w:sz w:val="24"/>
          <w:szCs w:val="24"/>
        </w:rPr>
        <w:t>: The Devised Performance.’</w:t>
      </w:r>
    </w:p>
  </w:footnote>
  <w:footnote w:id="9">
    <w:p w14:paraId="42335DFB" w14:textId="44C7E1CC" w:rsidR="00A67D71" w:rsidRDefault="00A67D71">
      <w:pPr>
        <w:spacing w:after="240" w:line="480" w:lineRule="auto"/>
        <w:rPr>
          <w:sz w:val="24"/>
          <w:szCs w:val="24"/>
        </w:rPr>
      </w:pPr>
      <w:r>
        <w:rPr>
          <w:rStyle w:val="FootnoteReference"/>
        </w:rPr>
        <w:footnoteRef/>
      </w:r>
      <w:r>
        <w:rPr>
          <w:sz w:val="24"/>
          <w:szCs w:val="24"/>
        </w:rPr>
        <w:t xml:space="preserve"> The </w:t>
      </w:r>
      <w:proofErr w:type="spellStart"/>
      <w:r>
        <w:rPr>
          <w:sz w:val="24"/>
          <w:szCs w:val="24"/>
        </w:rPr>
        <w:t>In|Dignity</w:t>
      </w:r>
      <w:proofErr w:type="spellEnd"/>
      <w:r>
        <w:rPr>
          <w:sz w:val="24"/>
          <w:szCs w:val="24"/>
        </w:rPr>
        <w:t xml:space="preserve"> curriculum was developed in partnership with the Region 10 Content, Literacy, Inquiry, Citizenship (</w:t>
      </w:r>
      <w:proofErr w:type="spellStart"/>
      <w:r>
        <w:rPr>
          <w:sz w:val="24"/>
          <w:szCs w:val="24"/>
        </w:rPr>
        <w:t>CLIC</w:t>
      </w:r>
      <w:proofErr w:type="spellEnd"/>
      <w:r>
        <w:rPr>
          <w:sz w:val="24"/>
          <w:szCs w:val="24"/>
        </w:rPr>
        <w:t>) Project</w:t>
      </w:r>
      <w:r w:rsidR="0022019B">
        <w:rPr>
          <w:sz w:val="24"/>
          <w:szCs w:val="24"/>
        </w:rPr>
        <w:t>, under the leadership of Barbara Lane,</w:t>
      </w:r>
      <w:r w:rsidR="0022019B" w:rsidRPr="0022019B">
        <w:t xml:space="preserve"> </w:t>
      </w:r>
      <w:r w:rsidR="0022019B" w:rsidRPr="0022019B">
        <w:rPr>
          <w:sz w:val="24"/>
          <w:szCs w:val="24"/>
        </w:rPr>
        <w:t>L</w:t>
      </w:r>
      <w:r w:rsidR="0022019B">
        <w:rPr>
          <w:sz w:val="24"/>
          <w:szCs w:val="24"/>
        </w:rPr>
        <w:t>iz Ramos and</w:t>
      </w:r>
      <w:r w:rsidR="0022019B" w:rsidRPr="0022019B">
        <w:rPr>
          <w:sz w:val="24"/>
          <w:szCs w:val="24"/>
        </w:rPr>
        <w:t xml:space="preserve">, Francine </w:t>
      </w:r>
      <w:proofErr w:type="spellStart"/>
      <w:r w:rsidR="0022019B" w:rsidRPr="0022019B">
        <w:rPr>
          <w:sz w:val="24"/>
          <w:szCs w:val="24"/>
        </w:rPr>
        <w:t>Bettger</w:t>
      </w:r>
      <w:proofErr w:type="spellEnd"/>
      <w:r>
        <w:rPr>
          <w:sz w:val="24"/>
          <w:szCs w:val="24"/>
        </w:rPr>
        <w:t xml:space="preserve">. More information on </w:t>
      </w:r>
      <w:proofErr w:type="spellStart"/>
      <w:r>
        <w:rPr>
          <w:sz w:val="24"/>
          <w:szCs w:val="24"/>
        </w:rPr>
        <w:t>CLIC</w:t>
      </w:r>
      <w:proofErr w:type="spellEnd"/>
      <w:r>
        <w:rPr>
          <w:sz w:val="24"/>
          <w:szCs w:val="24"/>
        </w:rPr>
        <w:t xml:space="preserve"> can be found at </w:t>
      </w:r>
      <w:hyperlink r:id="rId6">
        <w:r>
          <w:rPr>
            <w:color w:val="1155CC"/>
            <w:sz w:val="24"/>
            <w:szCs w:val="24"/>
            <w:u w:val="single"/>
          </w:rPr>
          <w:t>https://californiahss.org/</w:t>
        </w:r>
      </w:hyperlink>
      <w:r>
        <w:rPr>
          <w:sz w:val="24"/>
          <w:szCs w:val="24"/>
        </w:rPr>
        <w:t xml:space="preserve">. The </w:t>
      </w:r>
      <w:proofErr w:type="spellStart"/>
      <w:r>
        <w:rPr>
          <w:sz w:val="24"/>
          <w:szCs w:val="24"/>
        </w:rPr>
        <w:t>In|Dignity</w:t>
      </w:r>
      <w:proofErr w:type="spellEnd"/>
      <w:r>
        <w:rPr>
          <w:sz w:val="24"/>
          <w:szCs w:val="24"/>
        </w:rPr>
        <w:t xml:space="preserve"> curriculum can be accessed at </w:t>
      </w:r>
      <w:hyperlink r:id="rId7">
        <w:r>
          <w:rPr>
            <w:color w:val="1155CC"/>
            <w:sz w:val="24"/>
            <w:szCs w:val="24"/>
            <w:u w:val="single"/>
          </w:rPr>
          <w:t>http://www.indignityexhibit.weebly.com</w:t>
        </w:r>
      </w:hyperlink>
      <w:r>
        <w:rPr>
          <w:sz w:val="24"/>
          <w:szCs w:val="24"/>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502F5" w14:textId="77777777" w:rsidR="00A67D71" w:rsidRDefault="00A67D71">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32302B">
      <w:rPr>
        <w:noProof/>
        <w:color w:val="000000"/>
      </w:rPr>
      <w:t>21</w:t>
    </w:r>
    <w:r>
      <w:rPr>
        <w:color w:val="000000"/>
      </w:rPr>
      <w:fldChar w:fldCharType="end"/>
    </w:r>
  </w:p>
  <w:p w14:paraId="4E5F7301" w14:textId="77777777" w:rsidR="00A67D71" w:rsidRDefault="00A67D71">
    <w:pPr>
      <w:pBdr>
        <w:top w:val="nil"/>
        <w:left w:val="nil"/>
        <w:bottom w:val="nil"/>
        <w:right w:val="nil"/>
        <w:between w:val="nil"/>
      </w:pBdr>
      <w:tabs>
        <w:tab w:val="center" w:pos="4680"/>
        <w:tab w:val="right" w:pos="9360"/>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991"/>
    <w:rsid w:val="00064D24"/>
    <w:rsid w:val="000D4B01"/>
    <w:rsid w:val="00163414"/>
    <w:rsid w:val="00176B8C"/>
    <w:rsid w:val="001823EA"/>
    <w:rsid w:val="00197521"/>
    <w:rsid w:val="001C1E2F"/>
    <w:rsid w:val="001C77E3"/>
    <w:rsid w:val="001E2CB3"/>
    <w:rsid w:val="00217166"/>
    <w:rsid w:val="0022019B"/>
    <w:rsid w:val="00221FB5"/>
    <w:rsid w:val="00273116"/>
    <w:rsid w:val="002A1498"/>
    <w:rsid w:val="0032302B"/>
    <w:rsid w:val="00386F5C"/>
    <w:rsid w:val="00402213"/>
    <w:rsid w:val="004B0724"/>
    <w:rsid w:val="00507910"/>
    <w:rsid w:val="00552DB4"/>
    <w:rsid w:val="005676A0"/>
    <w:rsid w:val="00601F2D"/>
    <w:rsid w:val="00606DD8"/>
    <w:rsid w:val="006159EB"/>
    <w:rsid w:val="00621B33"/>
    <w:rsid w:val="00631971"/>
    <w:rsid w:val="00642F65"/>
    <w:rsid w:val="006552DF"/>
    <w:rsid w:val="006746BA"/>
    <w:rsid w:val="006A77CA"/>
    <w:rsid w:val="007265DC"/>
    <w:rsid w:val="007A4C34"/>
    <w:rsid w:val="0080543E"/>
    <w:rsid w:val="00820AF2"/>
    <w:rsid w:val="00857365"/>
    <w:rsid w:val="008929FC"/>
    <w:rsid w:val="008947FB"/>
    <w:rsid w:val="008C1218"/>
    <w:rsid w:val="008C7E13"/>
    <w:rsid w:val="008D7BB1"/>
    <w:rsid w:val="008E2216"/>
    <w:rsid w:val="008F68EC"/>
    <w:rsid w:val="00937761"/>
    <w:rsid w:val="009501EF"/>
    <w:rsid w:val="009E39A3"/>
    <w:rsid w:val="00A40057"/>
    <w:rsid w:val="00A67D71"/>
    <w:rsid w:val="00A902B8"/>
    <w:rsid w:val="00AB4177"/>
    <w:rsid w:val="00AC0B07"/>
    <w:rsid w:val="00AC3A04"/>
    <w:rsid w:val="00B27CC4"/>
    <w:rsid w:val="00B429EC"/>
    <w:rsid w:val="00B73CC0"/>
    <w:rsid w:val="00B91916"/>
    <w:rsid w:val="00B97F0A"/>
    <w:rsid w:val="00C0546E"/>
    <w:rsid w:val="00C43665"/>
    <w:rsid w:val="00C50E0A"/>
    <w:rsid w:val="00CA5FD1"/>
    <w:rsid w:val="00D47991"/>
    <w:rsid w:val="00DB7892"/>
    <w:rsid w:val="00DC7501"/>
    <w:rsid w:val="00DE0700"/>
    <w:rsid w:val="00DE543F"/>
    <w:rsid w:val="00DF3F80"/>
    <w:rsid w:val="00E57E25"/>
    <w:rsid w:val="00E67E68"/>
    <w:rsid w:val="00EE5F5F"/>
    <w:rsid w:val="00F51822"/>
    <w:rsid w:val="00F5595B"/>
    <w:rsid w:val="00F63DBA"/>
    <w:rsid w:val="00FB2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64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240"/>
      <w:outlineLvl w:val="0"/>
    </w:pPr>
    <w:rPr>
      <w:b/>
      <w:sz w:val="24"/>
      <w:szCs w:val="24"/>
      <w:u w:val="single"/>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348A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8AA"/>
    <w:rPr>
      <w:rFonts w:ascii="Segoe UI" w:hAnsi="Segoe UI" w:cs="Segoe UI"/>
      <w:sz w:val="18"/>
      <w:szCs w:val="18"/>
    </w:rPr>
  </w:style>
  <w:style w:type="paragraph" w:styleId="EndnoteText">
    <w:name w:val="endnote text"/>
    <w:basedOn w:val="Normal"/>
    <w:link w:val="EndnoteTextChar"/>
    <w:uiPriority w:val="99"/>
    <w:semiHidden/>
    <w:unhideWhenUsed/>
    <w:rsid w:val="003348AA"/>
    <w:pPr>
      <w:spacing w:line="240" w:lineRule="auto"/>
    </w:pPr>
    <w:rPr>
      <w:sz w:val="20"/>
      <w:szCs w:val="20"/>
    </w:rPr>
  </w:style>
  <w:style w:type="character" w:customStyle="1" w:styleId="EndnoteTextChar">
    <w:name w:val="Endnote Text Char"/>
    <w:basedOn w:val="DefaultParagraphFont"/>
    <w:link w:val="EndnoteText"/>
    <w:uiPriority w:val="99"/>
    <w:semiHidden/>
    <w:rsid w:val="003348AA"/>
    <w:rPr>
      <w:sz w:val="20"/>
      <w:szCs w:val="20"/>
    </w:rPr>
  </w:style>
  <w:style w:type="paragraph" w:styleId="FootnoteText">
    <w:name w:val="footnote text"/>
    <w:basedOn w:val="Normal"/>
    <w:link w:val="FootnoteTextChar"/>
    <w:uiPriority w:val="99"/>
    <w:semiHidden/>
    <w:unhideWhenUsed/>
    <w:rsid w:val="003348AA"/>
    <w:pPr>
      <w:spacing w:line="240" w:lineRule="auto"/>
    </w:pPr>
    <w:rPr>
      <w:sz w:val="20"/>
      <w:szCs w:val="20"/>
    </w:rPr>
  </w:style>
  <w:style w:type="character" w:customStyle="1" w:styleId="FootnoteTextChar">
    <w:name w:val="Footnote Text Char"/>
    <w:basedOn w:val="DefaultParagraphFont"/>
    <w:link w:val="FootnoteText"/>
    <w:uiPriority w:val="99"/>
    <w:semiHidden/>
    <w:rsid w:val="003348AA"/>
    <w:rPr>
      <w:sz w:val="20"/>
      <w:szCs w:val="20"/>
    </w:rPr>
  </w:style>
  <w:style w:type="character" w:styleId="EndnoteReference">
    <w:name w:val="endnote reference"/>
    <w:basedOn w:val="DefaultParagraphFont"/>
    <w:uiPriority w:val="99"/>
    <w:semiHidden/>
    <w:unhideWhenUsed/>
    <w:rsid w:val="003348AA"/>
    <w:rPr>
      <w:vertAlign w:val="superscript"/>
    </w:rPr>
  </w:style>
  <w:style w:type="character" w:styleId="FootnoteReference">
    <w:name w:val="footnote reference"/>
    <w:basedOn w:val="DefaultParagraphFont"/>
    <w:uiPriority w:val="99"/>
    <w:semiHidden/>
    <w:unhideWhenUsed/>
    <w:rsid w:val="003348AA"/>
    <w:rPr>
      <w:vertAlign w:val="superscript"/>
    </w:rPr>
  </w:style>
  <w:style w:type="character" w:styleId="Hyperlink">
    <w:name w:val="Hyperlink"/>
    <w:basedOn w:val="DefaultParagraphFont"/>
    <w:uiPriority w:val="99"/>
    <w:unhideWhenUsed/>
    <w:rsid w:val="003348A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430037"/>
    <w:rPr>
      <w:b/>
      <w:bCs/>
    </w:rPr>
  </w:style>
  <w:style w:type="character" w:customStyle="1" w:styleId="CommentSubjectChar">
    <w:name w:val="Comment Subject Char"/>
    <w:basedOn w:val="CommentTextChar"/>
    <w:link w:val="CommentSubject"/>
    <w:uiPriority w:val="99"/>
    <w:semiHidden/>
    <w:rsid w:val="00430037"/>
    <w:rPr>
      <w:b/>
      <w:bCs/>
      <w:sz w:val="20"/>
      <w:szCs w:val="20"/>
    </w:rPr>
  </w:style>
  <w:style w:type="paragraph" w:styleId="Header">
    <w:name w:val="header"/>
    <w:basedOn w:val="Normal"/>
    <w:link w:val="HeaderChar"/>
    <w:uiPriority w:val="99"/>
    <w:unhideWhenUsed/>
    <w:rsid w:val="00DE0FD0"/>
    <w:pPr>
      <w:tabs>
        <w:tab w:val="center" w:pos="4680"/>
        <w:tab w:val="right" w:pos="9360"/>
      </w:tabs>
      <w:spacing w:line="240" w:lineRule="auto"/>
    </w:pPr>
  </w:style>
  <w:style w:type="character" w:customStyle="1" w:styleId="HeaderChar">
    <w:name w:val="Header Char"/>
    <w:basedOn w:val="DefaultParagraphFont"/>
    <w:link w:val="Header"/>
    <w:uiPriority w:val="99"/>
    <w:rsid w:val="00DE0FD0"/>
  </w:style>
  <w:style w:type="paragraph" w:styleId="Footer">
    <w:name w:val="footer"/>
    <w:basedOn w:val="Normal"/>
    <w:link w:val="FooterChar"/>
    <w:uiPriority w:val="99"/>
    <w:unhideWhenUsed/>
    <w:rsid w:val="00DE0FD0"/>
    <w:pPr>
      <w:tabs>
        <w:tab w:val="center" w:pos="4680"/>
        <w:tab w:val="right" w:pos="9360"/>
      </w:tabs>
      <w:spacing w:line="240" w:lineRule="auto"/>
    </w:pPr>
  </w:style>
  <w:style w:type="character" w:customStyle="1" w:styleId="FooterChar">
    <w:name w:val="Footer Char"/>
    <w:basedOn w:val="DefaultParagraphFont"/>
    <w:link w:val="Footer"/>
    <w:uiPriority w:val="99"/>
    <w:rsid w:val="00DE0FD0"/>
  </w:style>
  <w:style w:type="character" w:styleId="FollowedHyperlink">
    <w:name w:val="FollowedHyperlink"/>
    <w:basedOn w:val="DefaultParagraphFont"/>
    <w:uiPriority w:val="99"/>
    <w:semiHidden/>
    <w:unhideWhenUsed/>
    <w:rsid w:val="00E156D7"/>
    <w:rPr>
      <w:color w:val="800080" w:themeColor="followedHyperlink"/>
      <w:u w:val="single"/>
    </w:rPr>
  </w:style>
  <w:style w:type="character" w:customStyle="1" w:styleId="UnresolvedMention1">
    <w:name w:val="Unresolved Mention1"/>
    <w:basedOn w:val="DefaultParagraphFont"/>
    <w:uiPriority w:val="99"/>
    <w:semiHidden/>
    <w:unhideWhenUsed/>
    <w:rsid w:val="00731248"/>
    <w:rPr>
      <w:color w:val="605E5C"/>
      <w:shd w:val="clear" w:color="auto" w:fill="E1DFDD"/>
    </w:rPr>
  </w:style>
  <w:style w:type="paragraph" w:styleId="Revision">
    <w:name w:val="Revision"/>
    <w:hidden/>
    <w:uiPriority w:val="99"/>
    <w:semiHidden/>
    <w:rsid w:val="00E6049B"/>
    <w:pPr>
      <w:spacing w:line="240" w:lineRule="auto"/>
    </w:pPr>
  </w:style>
  <w:style w:type="paragraph" w:styleId="NormalWeb">
    <w:name w:val="Normal (Web)"/>
    <w:basedOn w:val="Normal"/>
    <w:uiPriority w:val="99"/>
    <w:semiHidden/>
    <w:unhideWhenUsed/>
    <w:rsid w:val="0089697F"/>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40221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757642">
      <w:bodyDiv w:val="1"/>
      <w:marLeft w:val="0"/>
      <w:marRight w:val="0"/>
      <w:marTop w:val="0"/>
      <w:marBottom w:val="0"/>
      <w:divBdr>
        <w:top w:val="none" w:sz="0" w:space="0" w:color="auto"/>
        <w:left w:val="none" w:sz="0" w:space="0" w:color="auto"/>
        <w:bottom w:val="none" w:sz="0" w:space="0" w:color="auto"/>
        <w:right w:val="none" w:sz="0" w:space="0" w:color="auto"/>
      </w:divBdr>
    </w:div>
    <w:div w:id="923564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ettings" Target="settings.xml"/><Relationship Id="rId21" Type="http://schemas.microsoft.com/office/2016/09/relationships/commentsIds" Target="commentsIds.xml"/><Relationship Id="rId7" Type="http://schemas.openxmlformats.org/officeDocument/2006/relationships/comments" Target="comments.xml"/><Relationship Id="rId12" Type="http://schemas.openxmlformats.org/officeDocument/2006/relationships/image" Target="media/image4.png"/><Relationship Id="rId17" Type="http://schemas.openxmlformats.org/officeDocument/2006/relationships/hyperlink" Target="https://www.ncbi.nlm.nih.gov/pmc/articles/PMC4445577/" TargetMode="External"/><Relationship Id="rId2" Type="http://schemas.openxmlformats.org/officeDocument/2006/relationships/styles" Target="styles.xml"/><Relationship Id="rId16" Type="http://schemas.openxmlformats.org/officeDocument/2006/relationships/hyperlink" Target="https://www.museumsassociation.org/campaigns/power-and-privilege-21st-century-museu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articles.themuseumscholar.org/tp_vol2cavness"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yperlink" Target="https://www.theguardian.com/us-news/2016/dec/01/san-bernardino-shooting-one-year-later-muslim-hate-crime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ne-mo.org/fileadmin/Dateien/public/service/Handbook_MAPforID_EN.pdf" TargetMode="External"/><Relationship Id="rId7" Type="http://schemas.openxmlformats.org/officeDocument/2006/relationships/hyperlink" Target="http://www.indignityexhibit.weebly.com" TargetMode="External"/><Relationship Id="rId2" Type="http://schemas.openxmlformats.org/officeDocument/2006/relationships/hyperlink" Target="https://www.baltimoresun.com/entertainment/arts/bs-pr-fe-baltimore-museum-of-art-chris-bedford-20201120-zkltkjinr5f7vd4bidb4alvncy-story.html" TargetMode="External"/><Relationship Id="rId1" Type="http://schemas.openxmlformats.org/officeDocument/2006/relationships/hyperlink" Target="https://hyperallergic.com/302752/the-conflict-around-diversity-at-the-american-alliance-of-museums/" TargetMode="External"/><Relationship Id="rId6" Type="http://schemas.openxmlformats.org/officeDocument/2006/relationships/hyperlink" Target="https://californiahss.org/" TargetMode="External"/><Relationship Id="rId5" Type="http://schemas.openxmlformats.org/officeDocument/2006/relationships/hyperlink" Target="https://acpacsje.wordpress.com/2014/02/04/the-culture-of-campus-social-justice-elitism-by-amer-ahmed/" TargetMode="External"/><Relationship Id="rId4" Type="http://schemas.openxmlformats.org/officeDocument/2006/relationships/hyperlink" Target="https://www.aam-us.org/2015/02/03/trust-me-im-a-muse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D0481DB-47EA-46E7-A4ED-4A3D7348B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8167</Words>
  <Characters>46558</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2021-03-18T22:47:00Z</dcterms:created>
  <dcterms:modified xsi:type="dcterms:W3CDTF">2021-03-22T19:48:00Z</dcterms:modified>
</cp:coreProperties>
</file>